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微软雅黑" w:hAnsi="微软雅黑" w:eastAsia="微软雅黑" w:cstheme="minorEastAsia"/>
          <w:bCs/>
          <w:color w:val="000000" w:themeColor="text1"/>
          <w:kern w:val="0"/>
          <w:sz w:val="18"/>
          <w:szCs w:val="18"/>
          <w14:textFill>
            <w14:solidFill>
              <w14:schemeClr w14:val="tx1"/>
            </w14:solidFill>
          </w14:textFill>
        </w:rPr>
      </w:pPr>
      <w:bookmarkStart w:id="0" w:name="_Hlk489260599"/>
      <w:r>
        <w:rPr>
          <w:rFonts w:hint="eastAsia" w:ascii="微软雅黑" w:hAnsi="微软雅黑" w:eastAsia="微软雅黑" w:cstheme="minorEastAsia"/>
          <w:bCs/>
          <w:color w:val="000000" w:themeColor="text1"/>
          <w:kern w:val="0"/>
          <w:sz w:val="18"/>
          <w:szCs w:val="18"/>
          <w14:textFill>
            <w14:solidFill>
              <w14:schemeClr w14:val="tx1"/>
            </w14:solidFill>
          </w14:textFill>
        </w:rPr>
        <w:t>2020第二十届成都建筑及装饰材料博览会</w:t>
      </w:r>
    </w:p>
    <w:p>
      <w:pPr>
        <w:spacing w:line="700" w:lineRule="exact"/>
        <w:jc w:val="center"/>
        <w:rPr>
          <w:rFonts w:ascii="微软雅黑" w:hAnsi="微软雅黑" w:eastAsia="微软雅黑" w:cstheme="minorEastAsia"/>
          <w:b/>
          <w:bCs/>
          <w:color w:val="000000" w:themeColor="text1"/>
          <w:sz w:val="48"/>
          <w:szCs w:val="48"/>
          <w14:textFill>
            <w14:solidFill>
              <w14:schemeClr w14:val="tx1"/>
            </w14:solidFill>
          </w14:textFill>
        </w:rPr>
      </w:pPr>
      <w:r>
        <w:rPr>
          <w:rFonts w:hint="eastAsia" w:ascii="微软雅黑" w:hAnsi="微软雅黑" w:eastAsia="微软雅黑" w:cstheme="minorEastAsia"/>
          <w:b/>
          <w:bCs/>
          <w:color w:val="000000" w:themeColor="text1"/>
          <w:sz w:val="48"/>
          <w:szCs w:val="48"/>
          <w14:textFill>
            <w14:solidFill>
              <w14:schemeClr w14:val="tx1"/>
            </w14:solidFill>
          </w14:textFill>
        </w:rPr>
        <w:t>20</w:t>
      </w:r>
      <w:r>
        <w:rPr>
          <w:rFonts w:ascii="微软雅黑" w:hAnsi="微软雅黑" w:eastAsia="微软雅黑" w:cstheme="minorEastAsia"/>
          <w:b/>
          <w:bCs/>
          <w:color w:val="000000" w:themeColor="text1"/>
          <w:sz w:val="48"/>
          <w:szCs w:val="48"/>
          <w14:textFill>
            <w14:solidFill>
              <w14:schemeClr w14:val="tx1"/>
            </w14:solidFill>
          </w14:textFill>
        </w:rPr>
        <w:t>20</w:t>
      </w:r>
      <w:r>
        <w:rPr>
          <w:rFonts w:hint="eastAsia" w:ascii="微软雅黑" w:hAnsi="微软雅黑" w:eastAsia="微软雅黑" w:cstheme="minorEastAsia"/>
          <w:b/>
          <w:bCs/>
          <w:color w:val="000000" w:themeColor="text1"/>
          <w:sz w:val="48"/>
          <w:szCs w:val="48"/>
          <w14:textFill>
            <w14:solidFill>
              <w14:schemeClr w14:val="tx1"/>
            </w14:solidFill>
          </w14:textFill>
        </w:rPr>
        <w:t>第二十届成都建筑及装饰材料博览会</w:t>
      </w:r>
    </w:p>
    <w:p>
      <w:pPr>
        <w:adjustRightInd w:val="0"/>
        <w:spacing w:line="700" w:lineRule="exact"/>
        <w:jc w:val="center"/>
        <w:rPr>
          <w:rFonts w:ascii="微软雅黑" w:hAnsi="微软雅黑" w:eastAsia="微软雅黑" w:cstheme="minorEastAsia"/>
          <w:b/>
          <w:bCs/>
          <w:color w:val="000000" w:themeColor="text1"/>
          <w:sz w:val="44"/>
          <w:szCs w:val="44"/>
          <w14:textFill>
            <w14:solidFill>
              <w14:schemeClr w14:val="tx1"/>
            </w14:solidFill>
          </w14:textFill>
        </w:rPr>
      </w:pPr>
      <w:r>
        <w:rPr>
          <w:rFonts w:hint="eastAsia" w:ascii="微软雅黑" w:hAnsi="微软雅黑" w:eastAsia="微软雅黑" w:cstheme="minorEastAsia"/>
          <w:b/>
          <w:bCs/>
          <w:color w:val="000000" w:themeColor="text1"/>
          <w:sz w:val="44"/>
          <w:szCs w:val="44"/>
          <w14:textFill>
            <w14:solidFill>
              <w14:schemeClr w14:val="tx1"/>
            </w14:solidFill>
          </w14:textFill>
        </w:rPr>
        <w:t>参展邀请函</w:t>
      </w:r>
    </w:p>
    <w:p>
      <w:pPr>
        <w:spacing w:line="700" w:lineRule="exact"/>
        <w:jc w:val="center"/>
        <w:rPr>
          <w:rFonts w:ascii="微软雅黑" w:hAnsi="微软雅黑" w:eastAsia="微软雅黑" w:cstheme="minorEastAsia"/>
          <w:b/>
          <w:bCs/>
          <w:color w:val="000000" w:themeColor="text1"/>
          <w:sz w:val="30"/>
          <w:szCs w:val="30"/>
          <w14:textFill>
            <w14:solidFill>
              <w14:schemeClr w14:val="tx1"/>
            </w14:solidFill>
          </w14:textFill>
        </w:rPr>
      </w:pPr>
      <w:r>
        <w:rPr>
          <w:rFonts w:hint="eastAsia" w:ascii="微软雅黑" w:hAnsi="微软雅黑" w:eastAsia="微软雅黑" w:cstheme="minorEastAsia"/>
          <w:b/>
          <w:bCs/>
          <w:color w:val="000000" w:themeColor="text1"/>
          <w:sz w:val="30"/>
          <w:szCs w:val="30"/>
          <w14:textFill>
            <w14:solidFill>
              <w14:schemeClr w14:val="tx1"/>
            </w14:solidFill>
          </w14:textFill>
        </w:rPr>
        <w:t>20</w:t>
      </w:r>
      <w:r>
        <w:rPr>
          <w:rFonts w:ascii="微软雅黑" w:hAnsi="微软雅黑" w:eastAsia="微软雅黑" w:cstheme="minorEastAsia"/>
          <w:b/>
          <w:bCs/>
          <w:color w:val="000000" w:themeColor="text1"/>
          <w:sz w:val="30"/>
          <w:szCs w:val="30"/>
          <w14:textFill>
            <w14:solidFill>
              <w14:schemeClr w14:val="tx1"/>
            </w14:solidFill>
          </w14:textFill>
        </w:rPr>
        <w:t>20</w:t>
      </w:r>
      <w:r>
        <w:rPr>
          <w:rFonts w:hint="eastAsia" w:ascii="微软雅黑" w:hAnsi="微软雅黑" w:eastAsia="微软雅黑" w:cstheme="minorEastAsia"/>
          <w:b/>
          <w:bCs/>
          <w:color w:val="000000" w:themeColor="text1"/>
          <w:sz w:val="30"/>
          <w:szCs w:val="30"/>
          <w14:textFill>
            <w14:solidFill>
              <w14:schemeClr w14:val="tx1"/>
            </w14:solidFill>
          </w14:textFill>
        </w:rPr>
        <w:t>年4月</w:t>
      </w:r>
      <w:r>
        <w:rPr>
          <w:rFonts w:ascii="微软雅黑" w:hAnsi="微软雅黑" w:eastAsia="微软雅黑" w:cstheme="minorEastAsia"/>
          <w:b/>
          <w:bCs/>
          <w:color w:val="000000" w:themeColor="text1"/>
          <w:sz w:val="30"/>
          <w:szCs w:val="30"/>
          <w14:textFill>
            <w14:solidFill>
              <w14:schemeClr w14:val="tx1"/>
            </w14:solidFill>
          </w14:textFill>
        </w:rPr>
        <w:t>1</w:t>
      </w:r>
      <w:r>
        <w:rPr>
          <w:rFonts w:hint="eastAsia" w:ascii="微软雅黑" w:hAnsi="微软雅黑" w:eastAsia="微软雅黑" w:cstheme="minorEastAsia"/>
          <w:b/>
          <w:bCs/>
          <w:color w:val="000000" w:themeColor="text1"/>
          <w:sz w:val="30"/>
          <w:szCs w:val="30"/>
          <w14:textFill>
            <w14:solidFill>
              <w14:schemeClr w14:val="tx1"/>
            </w14:solidFill>
          </w14:textFill>
        </w:rPr>
        <w:t>7—19日   中国西部国际博览城</w:t>
      </w:r>
      <w:bookmarkEnd w:id="0"/>
      <w:bookmarkStart w:id="1" w:name="OLE_LINK1"/>
    </w:p>
    <w:p>
      <w:pPr>
        <w:snapToGrid w:val="0"/>
        <w:spacing w:line="360" w:lineRule="exact"/>
        <w:rPr>
          <w:rFonts w:ascii="微软雅黑" w:hAnsi="微软雅黑" w:eastAsia="微软雅黑" w:cstheme="minorEastAsia"/>
          <w:b/>
          <w:color w:val="000000" w:themeColor="text1"/>
          <w:sz w:val="28"/>
          <w:szCs w:val="28"/>
          <w14:textFill>
            <w14:solidFill>
              <w14:schemeClr w14:val="tx1"/>
            </w14:solidFill>
          </w14:textFill>
        </w:rPr>
      </w:pPr>
      <w:bookmarkStart w:id="2" w:name="OLE_LINK2"/>
      <w:bookmarkStart w:id="3" w:name="OLE_LINK3"/>
    </w:p>
    <w:p>
      <w:pPr>
        <w:snapToGrid w:val="0"/>
        <w:spacing w:line="360" w:lineRule="exact"/>
        <w:rPr>
          <w:rFonts w:ascii="微软雅黑" w:hAnsi="微软雅黑" w:eastAsia="微软雅黑" w:cstheme="minorEastAsia"/>
          <w:b/>
          <w:color w:val="000000" w:themeColor="text1"/>
          <w:sz w:val="28"/>
          <w:szCs w:val="28"/>
          <w14:textFill>
            <w14:solidFill>
              <w14:schemeClr w14:val="tx1"/>
            </w14:solidFill>
          </w14:textFill>
        </w:rPr>
      </w:pPr>
      <w:r>
        <w:rPr>
          <w:rFonts w:hint="eastAsia" w:ascii="微软雅黑" w:hAnsi="微软雅黑" w:eastAsia="微软雅黑" w:cstheme="minorEastAsia"/>
          <w:b/>
          <w:color w:val="000000" w:themeColor="text1"/>
          <w:sz w:val="28"/>
          <w:szCs w:val="28"/>
          <w14:textFill>
            <w14:solidFill>
              <w14:schemeClr w14:val="tx1"/>
            </w14:solidFill>
          </w14:textFill>
        </w:rPr>
        <w:t>主办单位：</w:t>
      </w:r>
    </w:p>
    <w:p>
      <w:pPr>
        <w:snapToGrid w:val="0"/>
        <w:spacing w:line="360" w:lineRule="exact"/>
        <w:rPr>
          <w:rFonts w:ascii="微软雅黑" w:hAnsi="微软雅黑" w:eastAsia="微软雅黑" w:cstheme="minorEastAsia"/>
          <w:b/>
          <w:color w:val="000000" w:themeColor="text1"/>
          <w:sz w:val="28"/>
          <w:szCs w:val="28"/>
          <w14:textFill>
            <w14:solidFill>
              <w14:schemeClr w14:val="tx1"/>
            </w14:solidFill>
          </w14:textFill>
        </w:rPr>
      </w:pPr>
    </w:p>
    <w:p>
      <w:pPr>
        <w:snapToGrid w:val="0"/>
        <w:spacing w:line="360" w:lineRule="exact"/>
        <w:rPr>
          <w:rFonts w:ascii="微软雅黑" w:hAnsi="微软雅黑" w:eastAsia="微软雅黑" w:cstheme="minorEastAsia"/>
          <w:b/>
          <w:color w:val="000000" w:themeColor="text1"/>
          <w:sz w:val="28"/>
          <w:szCs w:val="28"/>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567" w:footer="794" w:gutter="0"/>
          <w:cols w:space="425" w:num="1"/>
          <w:docGrid w:type="lines" w:linePitch="312" w:charSpace="0"/>
        </w:sectPr>
      </w:pP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英富曼Informa</w:t>
      </w:r>
      <w:r>
        <w:rPr>
          <w:rFonts w:ascii="微软雅黑" w:hAnsi="微软雅黑" w:eastAsia="微软雅黑" w:cstheme="minorEastAsia"/>
          <w:color w:val="000000" w:themeColor="text1"/>
          <w:szCs w:val="21"/>
          <w14:textFill>
            <w14:solidFill>
              <w14:schemeClr w14:val="tx1"/>
            </w14:solidFill>
          </w14:textFill>
        </w:rPr>
        <w:t xml:space="preserve"> </w:t>
      </w:r>
      <w:r>
        <w:rPr>
          <w:rFonts w:hint="eastAsia" w:ascii="微软雅黑" w:hAnsi="微软雅黑" w:eastAsia="微软雅黑" w:cstheme="minorEastAsia"/>
          <w:color w:val="000000" w:themeColor="text1"/>
          <w:szCs w:val="21"/>
          <w14:textFill>
            <w14:solidFill>
              <w14:schemeClr w14:val="tx1"/>
            </w14:solidFill>
          </w14:textFill>
        </w:rPr>
        <w:t>marke</w:t>
      </w:r>
      <w:r>
        <w:rPr>
          <w:rFonts w:ascii="微软雅黑" w:hAnsi="微软雅黑" w:eastAsia="微软雅黑" w:cstheme="minorEastAsia"/>
          <w:color w:val="000000" w:themeColor="text1"/>
          <w:szCs w:val="21"/>
          <w14:textFill>
            <w14:solidFill>
              <w14:schemeClr w14:val="tx1"/>
            </w14:solidFill>
          </w14:textFill>
        </w:rPr>
        <w:t>t</w:t>
      </w:r>
      <w:r>
        <w:rPr>
          <w:rFonts w:hint="eastAsia" w:ascii="微软雅黑" w:hAnsi="微软雅黑" w:eastAsia="微软雅黑" w:cstheme="minorEastAsia"/>
          <w:color w:val="000000" w:themeColor="text1"/>
          <w:szCs w:val="21"/>
          <w14:textFill>
            <w14:solidFill>
              <w14:schemeClr w14:val="tx1"/>
            </w14:solidFill>
          </w14:textFill>
        </w:rPr>
        <w:t>s</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中国建筑材料流通协会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 xml:space="preserve">四川省林业产业联合会 </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成都市建筑业协会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四川省室内装饰协会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四川省建筑防水协会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四川省建筑业商会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成都浴室柜行业协会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成都市建筑材料行业协会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成都市金属结构行业协会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四川省地坪工程技术协会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成都市房地产开发企业协会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成都室内装饰行业协会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四川省装配式建筑产业协会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四川省制冷学会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成都市节能及新材料产业协会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重庆橱柜衣柜定制行业协会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重庆家具行业协会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成都涂料行业协会</w:t>
      </w:r>
    </w:p>
    <w:p>
      <w:pPr>
        <w:snapToGrid w:val="0"/>
        <w:spacing w:line="360" w:lineRule="exact"/>
        <w:rPr>
          <w:rFonts w:ascii="微软雅黑" w:hAnsi="微软雅黑" w:eastAsia="微软雅黑" w:cstheme="minorEastAsia"/>
          <w:b/>
          <w:color w:val="000000" w:themeColor="text1"/>
          <w:szCs w:val="21"/>
          <w14:textFill>
            <w14:solidFill>
              <w14:schemeClr w14:val="tx1"/>
            </w14:solidFill>
          </w14:textFill>
        </w:rPr>
        <w:sectPr>
          <w:type w:val="continuous"/>
          <w:pgSz w:w="11906" w:h="16838"/>
          <w:pgMar w:top="1440" w:right="1080" w:bottom="1440" w:left="1080" w:header="851" w:footer="992" w:gutter="0"/>
          <w:cols w:space="425" w:num="2"/>
          <w:docGrid w:type="lines" w:linePitch="312" w:charSpace="0"/>
        </w:sectPr>
      </w:pPr>
    </w:p>
    <w:p>
      <w:pPr>
        <w:snapToGrid w:val="0"/>
        <w:spacing w:line="360" w:lineRule="exact"/>
        <w:rPr>
          <w:rFonts w:ascii="微软雅黑" w:hAnsi="微软雅黑" w:eastAsia="微软雅黑" w:cstheme="minorEastAsia"/>
          <w:b/>
          <w:color w:val="000000" w:themeColor="text1"/>
          <w:sz w:val="28"/>
          <w:szCs w:val="28"/>
          <w14:textFill>
            <w14:solidFill>
              <w14:schemeClr w14:val="tx1"/>
            </w14:solidFill>
          </w14:textFill>
        </w:rPr>
      </w:pPr>
    </w:p>
    <w:p>
      <w:pPr>
        <w:snapToGrid w:val="0"/>
        <w:spacing w:line="360" w:lineRule="exact"/>
        <w:rPr>
          <w:rFonts w:ascii="微软雅黑" w:hAnsi="微软雅黑" w:eastAsia="微软雅黑" w:cstheme="minorEastAsia"/>
          <w:b/>
          <w:color w:val="000000" w:themeColor="text1"/>
          <w:sz w:val="28"/>
          <w:szCs w:val="28"/>
          <w14:textFill>
            <w14:solidFill>
              <w14:schemeClr w14:val="tx1"/>
            </w14:solidFill>
          </w14:textFill>
        </w:rPr>
      </w:pPr>
      <w:r>
        <w:rPr>
          <w:rFonts w:hint="eastAsia" w:ascii="微软雅黑" w:hAnsi="微软雅黑" w:eastAsia="微软雅黑" w:cstheme="minorEastAsia"/>
          <w:b/>
          <w:color w:val="000000" w:themeColor="text1"/>
          <w:sz w:val="28"/>
          <w:szCs w:val="28"/>
          <w14:textFill>
            <w14:solidFill>
              <w14:schemeClr w14:val="tx1"/>
            </w14:solidFill>
          </w14:textFill>
        </w:rPr>
        <w:t>承办单位：</w:t>
      </w:r>
    </w:p>
    <w:p>
      <w:pPr>
        <w:snapToGrid w:val="0"/>
        <w:spacing w:line="360" w:lineRule="exact"/>
        <w:rPr>
          <w:rFonts w:ascii="微软雅黑" w:hAnsi="微软雅黑" w:eastAsia="微软雅黑" w:cstheme="minorEastAsia"/>
          <w:b/>
          <w:color w:val="000000" w:themeColor="text1"/>
          <w:sz w:val="28"/>
          <w:szCs w:val="28"/>
          <w14:textFill>
            <w14:solidFill>
              <w14:schemeClr w14:val="tx1"/>
            </w14:solidFill>
          </w14:textFill>
        </w:rPr>
      </w:pPr>
    </w:p>
    <w:p>
      <w:pPr>
        <w:snapToGrid w:val="0"/>
        <w:spacing w:line="360" w:lineRule="exact"/>
        <w:rPr>
          <w:rFonts w:ascii="微软雅黑" w:hAnsi="微软雅黑" w:eastAsia="微软雅黑" w:cstheme="minorEastAsia"/>
          <w:b/>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英富曼天一展览（成都）有限公司</w:t>
      </w:r>
    </w:p>
    <w:p>
      <w:pPr>
        <w:snapToGrid w:val="0"/>
        <w:spacing w:line="360" w:lineRule="exact"/>
        <w:rPr>
          <w:rFonts w:ascii="微软雅黑" w:hAnsi="微软雅黑" w:eastAsia="微软雅黑" w:cstheme="minorEastAsia"/>
          <w:b/>
          <w:color w:val="000000" w:themeColor="text1"/>
          <w:sz w:val="28"/>
          <w:szCs w:val="28"/>
          <w14:textFill>
            <w14:solidFill>
              <w14:schemeClr w14:val="tx1"/>
            </w14:solidFill>
          </w14:textFill>
        </w:rPr>
      </w:pPr>
    </w:p>
    <w:p>
      <w:pPr>
        <w:snapToGrid w:val="0"/>
        <w:spacing w:line="360" w:lineRule="exact"/>
        <w:rPr>
          <w:rFonts w:ascii="微软雅黑" w:hAnsi="微软雅黑" w:eastAsia="微软雅黑" w:cstheme="minorEastAsia"/>
          <w:b/>
          <w:color w:val="000000" w:themeColor="text1"/>
          <w:sz w:val="28"/>
          <w:szCs w:val="28"/>
          <w14:textFill>
            <w14:solidFill>
              <w14:schemeClr w14:val="tx1"/>
            </w14:solidFill>
          </w14:textFill>
        </w:rPr>
      </w:pPr>
      <w:r>
        <w:rPr>
          <w:rFonts w:hint="eastAsia" w:ascii="微软雅黑" w:hAnsi="微软雅黑" w:eastAsia="微软雅黑" w:cstheme="minorEastAsia"/>
          <w:b/>
          <w:color w:val="000000" w:themeColor="text1"/>
          <w:sz w:val="28"/>
          <w:szCs w:val="28"/>
          <w14:textFill>
            <w14:solidFill>
              <w14:schemeClr w14:val="tx1"/>
            </w14:solidFill>
          </w14:textFill>
        </w:rPr>
        <w:t>支持单位：</w:t>
      </w:r>
    </w:p>
    <w:p>
      <w:pPr>
        <w:snapToGrid w:val="0"/>
        <w:spacing w:line="360" w:lineRule="exact"/>
        <w:rPr>
          <w:rFonts w:ascii="微软雅黑" w:hAnsi="微软雅黑" w:eastAsia="微软雅黑" w:cstheme="minorEastAsia"/>
          <w:b/>
          <w:color w:val="000000" w:themeColor="text1"/>
          <w:sz w:val="28"/>
          <w:szCs w:val="28"/>
          <w14:textFill>
            <w14:solidFill>
              <w14:schemeClr w14:val="tx1"/>
            </w14:solidFill>
          </w14:textFill>
        </w:rPr>
      </w:pP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sectPr>
          <w:type w:val="continuous"/>
          <w:pgSz w:w="11906" w:h="16838"/>
          <w:pgMar w:top="1440" w:right="1080" w:bottom="1440" w:left="1080" w:header="851" w:footer="992" w:gutter="0"/>
          <w:cols w:space="425" w:num="1"/>
          <w:docGrid w:type="lines" w:linePitch="312" w:charSpace="0"/>
        </w:sectPr>
      </w:pP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中国室内装饰协会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中国建筑装饰材料协会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重庆市建筑装饰协会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贵州省建筑装饰协会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云南省建筑装饰行业协会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重庆市暖通及安装行业协会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成都市名优产品供需企业联盟</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九正建材网</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四川省勘协建筑装饰装修设计专委会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sectPr>
          <w:type w:val="continuous"/>
          <w:pgSz w:w="11906" w:h="16838"/>
          <w:pgMar w:top="1440" w:right="1080" w:bottom="1440" w:left="1080" w:header="851" w:footer="992" w:gutter="0"/>
          <w:cols w:space="425" w:num="2"/>
          <w:docGrid w:type="lines" w:linePitch="312" w:charSpace="0"/>
        </w:sectPr>
      </w:pPr>
      <w:r>
        <w:rPr>
          <w:rFonts w:hint="eastAsia" w:ascii="微软雅黑" w:hAnsi="微软雅黑" w:eastAsia="微软雅黑" w:cstheme="minorEastAsia"/>
          <w:color w:val="000000" w:themeColor="text1"/>
          <w:szCs w:val="21"/>
          <w14:textFill>
            <w14:solidFill>
              <w14:schemeClr w14:val="tx1"/>
            </w14:solidFill>
          </w14:textFill>
        </w:rPr>
        <w:t>四川墙纸墙布协会</w:t>
      </w:r>
    </w:p>
    <w:p>
      <w:pPr>
        <w:snapToGrid w:val="0"/>
        <w:spacing w:line="360" w:lineRule="exact"/>
        <w:rPr>
          <w:rFonts w:ascii="微软雅黑" w:hAnsi="微软雅黑" w:eastAsia="微软雅黑" w:cstheme="minorEastAsia"/>
          <w:b/>
          <w:color w:val="000000" w:themeColor="text1"/>
          <w:sz w:val="28"/>
          <w:szCs w:val="28"/>
          <w14:textFill>
            <w14:solidFill>
              <w14:schemeClr w14:val="tx1"/>
            </w14:solidFill>
          </w14:textFill>
        </w:rPr>
      </w:pPr>
    </w:p>
    <w:p>
      <w:pPr>
        <w:snapToGrid w:val="0"/>
        <w:spacing w:line="360" w:lineRule="exact"/>
        <w:rPr>
          <w:rFonts w:ascii="微软雅黑" w:hAnsi="微软雅黑" w:eastAsia="微软雅黑" w:cstheme="minorEastAsia"/>
          <w:b/>
          <w:color w:val="000000" w:themeColor="text1"/>
          <w:sz w:val="28"/>
          <w:szCs w:val="28"/>
          <w14:textFill>
            <w14:solidFill>
              <w14:schemeClr w14:val="tx1"/>
            </w14:solidFill>
          </w14:textFill>
        </w:rPr>
      </w:pPr>
      <w:r>
        <w:rPr>
          <w:rFonts w:hint="eastAsia" w:ascii="微软雅黑" w:hAnsi="微软雅黑" w:eastAsia="微软雅黑" w:cstheme="minorEastAsia"/>
          <w:b/>
          <w:color w:val="000000" w:themeColor="text1"/>
          <w:sz w:val="28"/>
          <w:szCs w:val="28"/>
          <w14:textFill>
            <w14:solidFill>
              <w14:schemeClr w14:val="tx1"/>
            </w14:solidFill>
          </w14:textFill>
        </w:rPr>
        <w:t>指导单位：</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sectPr>
          <w:type w:val="continuous"/>
          <w:pgSz w:w="11906" w:h="16838"/>
          <w:pgMar w:top="1440" w:right="1080" w:bottom="1440" w:left="1080" w:header="851" w:footer="992" w:gutter="0"/>
          <w:cols w:space="425" w:num="1"/>
          <w:docGrid w:type="lines" w:linePitch="312" w:charSpace="0"/>
        </w:sectPr>
      </w:pP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 xml:space="preserve">成都市博览局 </w:t>
      </w:r>
      <w:r>
        <w:rPr>
          <w:rFonts w:ascii="微软雅黑" w:hAnsi="微软雅黑" w:eastAsia="微软雅黑" w:cstheme="minorEastAsia"/>
          <w:color w:val="000000" w:themeColor="text1"/>
          <w:szCs w:val="21"/>
          <w14:textFill>
            <w14:solidFill>
              <w14:schemeClr w14:val="tx1"/>
            </w14:solidFill>
          </w14:textFill>
        </w:rPr>
        <w:t xml:space="preserve">                          </w:t>
      </w:r>
      <w:r>
        <w:rPr>
          <w:rFonts w:hint="eastAsia" w:ascii="微软雅黑" w:hAnsi="微软雅黑" w:eastAsia="微软雅黑" w:cstheme="minorEastAsia"/>
          <w:color w:val="000000" w:themeColor="text1"/>
          <w:szCs w:val="21"/>
          <w14:textFill>
            <w14:solidFill>
              <w14:schemeClr w14:val="tx1"/>
            </w14:solidFill>
          </w14:textFill>
        </w:rPr>
        <w:t>成都市经济和信息化局</w:t>
      </w:r>
    </w:p>
    <w:p>
      <w:pPr>
        <w:snapToGrid w:val="0"/>
        <w:spacing w:line="360" w:lineRule="auto"/>
        <w:rPr>
          <w:rFonts w:ascii="微软雅黑" w:hAnsi="微软雅黑" w:eastAsia="微软雅黑" w:cstheme="minorEastAsia"/>
          <w:color w:val="000000" w:themeColor="text1"/>
          <w:szCs w:val="21"/>
          <w14:textFill>
            <w14:solidFill>
              <w14:schemeClr w14:val="tx1"/>
            </w14:solidFill>
          </w14:textFill>
        </w:rPr>
        <w:sectPr>
          <w:type w:val="continuous"/>
          <w:pgSz w:w="11906" w:h="16838"/>
          <w:pgMar w:top="1440" w:right="1080" w:bottom="1440" w:left="1080" w:header="851" w:footer="992" w:gutter="0"/>
          <w:cols w:space="425" w:num="1"/>
          <w:docGrid w:type="lines" w:linePitch="312" w:charSpace="0"/>
        </w:sectPr>
      </w:pPr>
    </w:p>
    <w:p>
      <w:pPr>
        <w:snapToGrid w:val="0"/>
        <w:spacing w:line="360" w:lineRule="auto"/>
        <w:rPr>
          <w:rFonts w:ascii="微软雅黑" w:hAnsi="微软雅黑" w:eastAsia="微软雅黑" w:cstheme="minorEastAsia"/>
          <w:b/>
          <w:color w:val="000000" w:themeColor="text1"/>
          <w:szCs w:val="21"/>
          <w14:textFill>
            <w14:solidFill>
              <w14:schemeClr w14:val="tx1"/>
            </w14:solidFill>
          </w14:textFill>
        </w:rPr>
        <w:sectPr>
          <w:type w:val="continuous"/>
          <w:pgSz w:w="11906" w:h="16838"/>
          <w:pgMar w:top="1440" w:right="1080" w:bottom="1440" w:left="1080" w:header="851" w:footer="992" w:gutter="0"/>
          <w:cols w:space="425" w:num="2"/>
          <w:docGrid w:type="lines" w:linePitch="312" w:charSpace="0"/>
        </w:sectPr>
      </w:pPr>
    </w:p>
    <w:p>
      <w:pPr>
        <w:snapToGrid w:val="0"/>
        <w:spacing w:line="360" w:lineRule="auto"/>
        <w:rPr>
          <w:rFonts w:ascii="微软雅黑" w:hAnsi="微软雅黑" w:eastAsia="微软雅黑" w:cstheme="minorEastAsia"/>
          <w:b/>
          <w:color w:val="000000" w:themeColor="text1"/>
          <w:szCs w:val="21"/>
          <w14:textFill>
            <w14:solidFill>
              <w14:schemeClr w14:val="tx1"/>
            </w14:solidFill>
          </w14:textFill>
        </w:rPr>
        <w:sectPr>
          <w:type w:val="continuous"/>
          <w:pgSz w:w="11906" w:h="16838"/>
          <w:pgMar w:top="1440" w:right="1080" w:bottom="1440" w:left="1080" w:header="851" w:footer="992" w:gutter="0"/>
          <w:cols w:space="425" w:num="1"/>
          <w:docGrid w:type="lines" w:linePitch="312" w:charSpace="0"/>
        </w:sectPr>
      </w:pPr>
    </w:p>
    <w:p>
      <w:pPr>
        <w:snapToGrid w:val="0"/>
        <w:spacing w:line="360" w:lineRule="auto"/>
        <w:rPr>
          <w:rFonts w:ascii="微软雅黑" w:hAnsi="微软雅黑" w:eastAsia="微软雅黑" w:cstheme="minorEastAsia"/>
          <w:color w:val="000000" w:themeColor="text1"/>
          <w:szCs w:val="21"/>
          <w14:textFill>
            <w14:solidFill>
              <w14:schemeClr w14:val="tx1"/>
            </w14:solidFill>
          </w14:textFill>
        </w:rPr>
        <w:sectPr>
          <w:type w:val="continuous"/>
          <w:pgSz w:w="11906" w:h="16838"/>
          <w:pgMar w:top="1440" w:right="1080" w:bottom="1440" w:left="1080" w:header="851" w:footer="992" w:gutter="0"/>
          <w:cols w:space="425" w:num="2"/>
          <w:docGrid w:type="lines" w:linePitch="312" w:charSpace="0"/>
        </w:sectPr>
      </w:pPr>
    </w:p>
    <w:bookmarkEnd w:id="1"/>
    <w:p>
      <w:pPr>
        <w:snapToGrid w:val="0"/>
        <w:spacing w:line="360" w:lineRule="auto"/>
        <w:rPr>
          <w:rFonts w:ascii="微软雅黑" w:hAnsi="微软雅黑" w:eastAsia="微软雅黑" w:cstheme="minorEastAsia"/>
          <w:color w:val="000000" w:themeColor="text1"/>
          <w:szCs w:val="21"/>
          <w14:textFill>
            <w14:solidFill>
              <w14:schemeClr w14:val="tx1"/>
            </w14:solidFill>
          </w14:textFill>
        </w:rPr>
        <w:sectPr>
          <w:type w:val="continuous"/>
          <w:pgSz w:w="11906" w:h="16838"/>
          <w:pgMar w:top="1440" w:right="1080" w:bottom="1440" w:left="1080" w:header="851" w:footer="992" w:gutter="0"/>
          <w:cols w:equalWidth="0" w:num="2">
            <w:col w:w="4660" w:space="425"/>
            <w:col w:w="4660"/>
          </w:cols>
          <w:docGrid w:type="lines" w:linePitch="312" w:charSpace="0"/>
        </w:sectPr>
      </w:pPr>
    </w:p>
    <w:bookmarkEnd w:id="2"/>
    <w:bookmarkEnd w:id="3"/>
    <w:p>
      <w:pPr>
        <w:spacing w:line="360" w:lineRule="auto"/>
        <w:rPr>
          <w:rFonts w:ascii="微软雅黑" w:hAnsi="微软雅黑" w:eastAsia="微软雅黑" w:cstheme="minorEastAsia"/>
          <w:b/>
          <w:color w:val="000000" w:themeColor="text1"/>
          <w:szCs w:val="21"/>
          <w14:textFill>
            <w14:solidFill>
              <w14:schemeClr w14:val="tx1"/>
            </w14:solidFill>
          </w14:textFill>
        </w:rPr>
        <w:sectPr>
          <w:type w:val="continuous"/>
          <w:pgSz w:w="11906" w:h="16838"/>
          <w:pgMar w:top="1440" w:right="1080" w:bottom="1440" w:left="1080" w:header="851" w:footer="992" w:gutter="0"/>
          <w:cols w:space="425" w:num="2"/>
          <w:docGrid w:type="lines" w:linePitch="312" w:charSpace="0"/>
        </w:sectPr>
      </w:pPr>
    </w:p>
    <w:p>
      <w:pPr>
        <w:rPr>
          <w:rFonts w:ascii="微软雅黑" w:hAnsi="微软雅黑" w:eastAsia="微软雅黑" w:cstheme="minorEastAsia"/>
          <w:b/>
          <w:bCs/>
          <w:color w:val="000000" w:themeColor="text1"/>
          <w:sz w:val="28"/>
          <w:szCs w:val="28"/>
          <w14:textFill>
            <w14:solidFill>
              <w14:schemeClr w14:val="tx1"/>
            </w14:solidFill>
          </w14:textFill>
        </w:rPr>
      </w:pPr>
      <w:r>
        <w:rPr>
          <w:rFonts w:hint="eastAsia" w:ascii="微软雅黑" w:hAnsi="微软雅黑" w:eastAsia="微软雅黑" w:cstheme="minorEastAsia"/>
          <w:b/>
          <w:bCs/>
          <w:color w:val="000000" w:themeColor="text1"/>
          <w:sz w:val="28"/>
          <w:szCs w:val="28"/>
          <w14:textFill>
            <w14:solidFill>
              <w14:schemeClr w14:val="tx1"/>
            </w14:solidFill>
          </w14:textFill>
        </w:rPr>
        <w:t>展会信息</w:t>
      </w:r>
    </w:p>
    <w:p>
      <w:pPr>
        <w:rPr>
          <w:rFonts w:ascii="微软雅黑" w:hAnsi="微软雅黑" w:eastAsia="微软雅黑" w:cstheme="minorEastAsia"/>
          <w:b/>
          <w:bCs/>
          <w:color w:val="000000" w:themeColor="text1"/>
          <w:sz w:val="28"/>
          <w:szCs w:val="28"/>
          <w14:textFill>
            <w14:solidFill>
              <w14:schemeClr w14:val="tx1"/>
            </w14:solidFill>
          </w14:textFill>
        </w:rPr>
      </w:pPr>
      <w:r>
        <w:rPr>
          <w:rFonts w:hint="eastAsia" w:ascii="微软雅黑" w:hAnsi="微软雅黑" w:eastAsia="微软雅黑" w:cstheme="minorEastAsia"/>
          <w:b/>
          <w:bCs/>
          <w:color w:val="000000" w:themeColor="text1"/>
          <w:sz w:val="28"/>
          <w:szCs w:val="28"/>
          <w14:textFill>
            <w14:solidFill>
              <w14:schemeClr w14:val="tx1"/>
            </w14:solidFill>
          </w14:textFill>
        </w:rPr>
        <w:t>CCBD全产业链大格局——为大家居建装行业提供整体解决方案</w:t>
      </w:r>
    </w:p>
    <w:tbl>
      <w:tblPr>
        <w:tblStyle w:val="7"/>
        <w:tblpPr w:leftFromText="180" w:rightFromText="180" w:vertAnchor="page" w:horzAnchor="margin" w:tblpY="2746"/>
        <w:tblOverlap w:val="never"/>
        <w:tblW w:w="97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365" w:type="dxa"/>
          </w:tcPr>
          <w:p>
            <w:pPr>
              <w:rPr>
                <w:rFonts w:ascii="微软雅黑" w:hAnsi="微软雅黑" w:eastAsia="微软雅黑" w:cstheme="minorEastAsia"/>
                <w:b/>
                <w:bCs/>
                <w:color w:val="000000" w:themeColor="text1"/>
                <w:szCs w:val="21"/>
                <w14:textFill>
                  <w14:solidFill>
                    <w14:schemeClr w14:val="tx1"/>
                  </w14:solidFill>
                </w14:textFill>
              </w:rPr>
            </w:pPr>
            <w:r>
              <w:rPr>
                <w:rFonts w:hint="eastAsia" w:ascii="微软雅黑" w:hAnsi="微软雅黑" w:eastAsia="微软雅黑" w:cstheme="minorEastAsia"/>
                <w:b/>
                <w:bCs/>
                <w:color w:val="000000" w:themeColor="text1"/>
                <w:szCs w:val="21"/>
                <w14:textFill>
                  <w14:solidFill>
                    <w14:schemeClr w14:val="tx1"/>
                  </w14:solidFill>
                </w14:textFill>
              </w:rPr>
              <w:t>展会名称</w:t>
            </w:r>
          </w:p>
        </w:tc>
        <w:tc>
          <w:tcPr>
            <w:tcW w:w="8389" w:type="dxa"/>
          </w:tcPr>
          <w:p>
            <w:pPr>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20</w:t>
            </w:r>
            <w:r>
              <w:rPr>
                <w:rFonts w:ascii="微软雅黑" w:hAnsi="微软雅黑" w:eastAsia="微软雅黑" w:cstheme="minorEastAsia"/>
                <w:color w:val="000000" w:themeColor="text1"/>
                <w:szCs w:val="21"/>
                <w14:textFill>
                  <w14:solidFill>
                    <w14:schemeClr w14:val="tx1"/>
                  </w14:solidFill>
                </w14:textFill>
              </w:rPr>
              <w:t>20</w:t>
            </w:r>
            <w:r>
              <w:rPr>
                <w:rFonts w:hint="eastAsia" w:ascii="微软雅黑" w:hAnsi="微软雅黑" w:eastAsia="微软雅黑" w:cstheme="minorEastAsia"/>
                <w:color w:val="000000" w:themeColor="text1"/>
                <w:szCs w:val="21"/>
                <w14:textFill>
                  <w14:solidFill>
                    <w14:schemeClr w14:val="tx1"/>
                  </w14:solidFill>
                </w14:textFill>
              </w:rPr>
              <w:t>第二十届成都建筑及装饰材料博览会（简称：成都建博会/CCBD）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365" w:type="dxa"/>
          </w:tcPr>
          <w:p>
            <w:pPr>
              <w:rPr>
                <w:rFonts w:ascii="微软雅黑" w:hAnsi="微软雅黑" w:eastAsia="微软雅黑" w:cstheme="minorEastAsia"/>
                <w:b/>
                <w:bCs/>
                <w:color w:val="000000" w:themeColor="text1"/>
                <w:szCs w:val="21"/>
                <w14:textFill>
                  <w14:solidFill>
                    <w14:schemeClr w14:val="tx1"/>
                  </w14:solidFill>
                </w14:textFill>
              </w:rPr>
            </w:pPr>
            <w:r>
              <w:rPr>
                <w:rFonts w:hint="eastAsia" w:ascii="微软雅黑" w:hAnsi="微软雅黑" w:eastAsia="微软雅黑" w:cstheme="minorEastAsia"/>
                <w:b/>
                <w:bCs/>
                <w:color w:val="000000" w:themeColor="text1"/>
                <w:szCs w:val="21"/>
                <w14:textFill>
                  <w14:solidFill>
                    <w14:schemeClr w14:val="tx1"/>
                  </w14:solidFill>
                </w14:textFill>
              </w:rPr>
              <w:t>布展时间</w:t>
            </w:r>
          </w:p>
        </w:tc>
        <w:tc>
          <w:tcPr>
            <w:tcW w:w="8389" w:type="dxa"/>
          </w:tcPr>
          <w:p>
            <w:pPr>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20</w:t>
            </w:r>
            <w:r>
              <w:rPr>
                <w:rFonts w:ascii="微软雅黑" w:hAnsi="微软雅黑" w:eastAsia="微软雅黑" w:cstheme="minorEastAsia"/>
                <w:color w:val="000000" w:themeColor="text1"/>
                <w:szCs w:val="21"/>
                <w14:textFill>
                  <w14:solidFill>
                    <w14:schemeClr w14:val="tx1"/>
                  </w14:solidFill>
                </w14:textFill>
              </w:rPr>
              <w:t>20</w:t>
            </w:r>
            <w:r>
              <w:rPr>
                <w:rFonts w:hint="eastAsia" w:ascii="微软雅黑" w:hAnsi="微软雅黑" w:eastAsia="微软雅黑" w:cstheme="minorEastAsia"/>
                <w:color w:val="000000" w:themeColor="text1"/>
                <w:szCs w:val="21"/>
                <w14:textFill>
                  <w14:solidFill>
                    <w14:schemeClr w14:val="tx1"/>
                  </w14:solidFill>
                </w14:textFill>
              </w:rPr>
              <w:t>年4月14—16日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365" w:type="dxa"/>
          </w:tcPr>
          <w:p>
            <w:pPr>
              <w:rPr>
                <w:rFonts w:ascii="微软雅黑" w:hAnsi="微软雅黑" w:eastAsia="微软雅黑" w:cstheme="minorEastAsia"/>
                <w:b/>
                <w:bCs/>
                <w:color w:val="000000" w:themeColor="text1"/>
                <w:szCs w:val="21"/>
                <w14:textFill>
                  <w14:solidFill>
                    <w14:schemeClr w14:val="tx1"/>
                  </w14:solidFill>
                </w14:textFill>
              </w:rPr>
            </w:pPr>
            <w:r>
              <w:rPr>
                <w:rFonts w:hint="eastAsia" w:ascii="微软雅黑" w:hAnsi="微软雅黑" w:eastAsia="微软雅黑" w:cstheme="minorEastAsia"/>
                <w:b/>
                <w:bCs/>
                <w:color w:val="000000" w:themeColor="text1"/>
                <w:szCs w:val="21"/>
                <w14:textFill>
                  <w14:solidFill>
                    <w14:schemeClr w14:val="tx1"/>
                  </w14:solidFill>
                </w14:textFill>
              </w:rPr>
              <w:t>展会时间</w:t>
            </w:r>
          </w:p>
        </w:tc>
        <w:tc>
          <w:tcPr>
            <w:tcW w:w="8389" w:type="dxa"/>
          </w:tcPr>
          <w:p>
            <w:pPr>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20</w:t>
            </w:r>
            <w:r>
              <w:rPr>
                <w:rFonts w:ascii="微软雅黑" w:hAnsi="微软雅黑" w:eastAsia="微软雅黑" w:cstheme="minorEastAsia"/>
                <w:color w:val="000000" w:themeColor="text1"/>
                <w:szCs w:val="21"/>
                <w14:textFill>
                  <w14:solidFill>
                    <w14:schemeClr w14:val="tx1"/>
                  </w14:solidFill>
                </w14:textFill>
              </w:rPr>
              <w:t>20</w:t>
            </w:r>
            <w:r>
              <w:rPr>
                <w:rFonts w:hint="eastAsia" w:ascii="微软雅黑" w:hAnsi="微软雅黑" w:eastAsia="微软雅黑" w:cstheme="minorEastAsia"/>
                <w:color w:val="000000" w:themeColor="text1"/>
                <w:szCs w:val="21"/>
                <w14:textFill>
                  <w14:solidFill>
                    <w14:schemeClr w14:val="tx1"/>
                  </w14:solidFill>
                </w14:textFill>
              </w:rPr>
              <w:t>年4月17—19日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365" w:type="dxa"/>
          </w:tcPr>
          <w:p>
            <w:pPr>
              <w:rPr>
                <w:rFonts w:ascii="微软雅黑" w:hAnsi="微软雅黑" w:eastAsia="微软雅黑" w:cstheme="minorEastAsia"/>
                <w:b/>
                <w:bCs/>
                <w:color w:val="000000" w:themeColor="text1"/>
                <w:szCs w:val="21"/>
                <w14:textFill>
                  <w14:solidFill>
                    <w14:schemeClr w14:val="tx1"/>
                  </w14:solidFill>
                </w14:textFill>
              </w:rPr>
            </w:pPr>
            <w:r>
              <w:rPr>
                <w:rFonts w:hint="eastAsia" w:ascii="微软雅黑" w:hAnsi="微软雅黑" w:eastAsia="微软雅黑" w:cstheme="minorEastAsia"/>
                <w:b/>
                <w:bCs/>
                <w:color w:val="000000" w:themeColor="text1"/>
                <w:szCs w:val="21"/>
                <w14:textFill>
                  <w14:solidFill>
                    <w14:schemeClr w14:val="tx1"/>
                  </w14:solidFill>
                </w14:textFill>
              </w:rPr>
              <w:t>展会地点</w:t>
            </w:r>
          </w:p>
        </w:tc>
        <w:tc>
          <w:tcPr>
            <w:tcW w:w="8389" w:type="dxa"/>
          </w:tcPr>
          <w:p>
            <w:pPr>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中国西部国际博览城（四川省成都市天府新区福州路东段88号）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365" w:type="dxa"/>
          </w:tcPr>
          <w:p>
            <w:pPr>
              <w:rPr>
                <w:rFonts w:ascii="微软雅黑" w:hAnsi="微软雅黑" w:eastAsia="微软雅黑" w:cstheme="minorEastAsia"/>
                <w:b/>
                <w:bCs/>
                <w:color w:val="000000" w:themeColor="text1"/>
                <w:szCs w:val="21"/>
                <w14:textFill>
                  <w14:solidFill>
                    <w14:schemeClr w14:val="tx1"/>
                  </w14:solidFill>
                </w14:textFill>
              </w:rPr>
            </w:pPr>
            <w:r>
              <w:rPr>
                <w:rFonts w:hint="eastAsia" w:ascii="微软雅黑" w:hAnsi="微软雅黑" w:eastAsia="微软雅黑" w:cstheme="minorEastAsia"/>
                <w:b/>
                <w:bCs/>
                <w:color w:val="000000" w:themeColor="text1"/>
                <w:szCs w:val="21"/>
                <w14:textFill>
                  <w14:solidFill>
                    <w14:schemeClr w14:val="tx1"/>
                  </w14:solidFill>
                </w14:textFill>
              </w:rPr>
              <w:t>展会规模</w:t>
            </w:r>
          </w:p>
        </w:tc>
        <w:tc>
          <w:tcPr>
            <w:tcW w:w="8389" w:type="dxa"/>
          </w:tcPr>
          <w:p>
            <w:pPr>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1</w:t>
            </w:r>
            <w:r>
              <w:rPr>
                <w:rFonts w:ascii="微软雅黑" w:hAnsi="微软雅黑" w:eastAsia="微软雅黑" w:cstheme="minorEastAsia"/>
                <w:color w:val="000000" w:themeColor="text1"/>
                <w:szCs w:val="21"/>
                <w14:textFill>
                  <w14:solidFill>
                    <w14:schemeClr w14:val="tx1"/>
                  </w14:solidFill>
                </w14:textFill>
              </w:rPr>
              <w:t>2</w:t>
            </w:r>
            <w:r>
              <w:rPr>
                <w:rFonts w:hint="eastAsia" w:ascii="微软雅黑" w:hAnsi="微软雅黑" w:eastAsia="微软雅黑" w:cstheme="minorEastAsia"/>
                <w:color w:val="000000" w:themeColor="text1"/>
                <w:szCs w:val="21"/>
                <w14:textFill>
                  <w14:solidFill>
                    <w14:schemeClr w14:val="tx1"/>
                  </w14:solidFill>
                </w14:textFill>
              </w:rPr>
              <w:t>个展馆；1</w:t>
            </w:r>
            <w:r>
              <w:rPr>
                <w:rFonts w:ascii="微软雅黑" w:hAnsi="微软雅黑" w:eastAsia="微软雅黑" w:cstheme="minorEastAsia"/>
                <w:color w:val="000000" w:themeColor="text1"/>
                <w:szCs w:val="21"/>
                <w14:textFill>
                  <w14:solidFill>
                    <w14:schemeClr w14:val="tx1"/>
                  </w14:solidFill>
                </w14:textFill>
              </w:rPr>
              <w:t>5</w:t>
            </w:r>
            <w:r>
              <w:rPr>
                <w:rFonts w:hint="eastAsia" w:ascii="微软雅黑" w:hAnsi="微软雅黑" w:eastAsia="微软雅黑" w:cstheme="minorEastAsia"/>
                <w:color w:val="000000" w:themeColor="text1"/>
                <w:szCs w:val="21"/>
                <w14:textFill>
                  <w14:solidFill>
                    <w14:schemeClr w14:val="tx1"/>
                  </w14:solidFill>
                </w14:textFill>
              </w:rPr>
              <w:t>万㎡展览面积；预计1600</w:t>
            </w:r>
            <w:r>
              <w:rPr>
                <w:rFonts w:hint="eastAsia" w:ascii="微软雅黑" w:hAnsi="微软雅黑" w:eastAsia="微软雅黑" w:cstheme="minorEastAsia"/>
                <w:color w:val="000000" w:themeColor="text1"/>
                <w:sz w:val="28"/>
                <w:szCs w:val="28"/>
                <w:vertAlign w:val="superscript"/>
                <w14:textFill>
                  <w14:solidFill>
                    <w14:schemeClr w14:val="tx1"/>
                  </w14:solidFill>
                </w14:textFill>
              </w:rPr>
              <w:t>+</w:t>
            </w:r>
            <w:r>
              <w:rPr>
                <w:rFonts w:hint="eastAsia" w:ascii="微软雅黑" w:hAnsi="微软雅黑" w:eastAsia="微软雅黑" w:cstheme="minorEastAsia"/>
                <w:color w:val="000000" w:themeColor="text1"/>
                <w:szCs w:val="21"/>
                <w14:textFill>
                  <w14:solidFill>
                    <w14:schemeClr w14:val="tx1"/>
                  </w14:solidFill>
                </w14:textFill>
              </w:rPr>
              <w:t>展商、90000</w:t>
            </w:r>
            <w:r>
              <w:rPr>
                <w:rFonts w:hint="eastAsia" w:ascii="微软雅黑" w:hAnsi="微软雅黑" w:eastAsia="微软雅黑" w:cstheme="minorEastAsia"/>
                <w:color w:val="000000" w:themeColor="text1"/>
                <w:sz w:val="28"/>
                <w:szCs w:val="28"/>
                <w:vertAlign w:val="superscript"/>
                <w14:textFill>
                  <w14:solidFill>
                    <w14:schemeClr w14:val="tx1"/>
                  </w14:solidFill>
                </w14:textFill>
              </w:rPr>
              <w:t>+</w:t>
            </w:r>
            <w:r>
              <w:rPr>
                <w:rFonts w:hint="eastAsia" w:ascii="微软雅黑" w:hAnsi="微软雅黑" w:eastAsia="微软雅黑" w:cstheme="minorEastAsia"/>
                <w:color w:val="000000" w:themeColor="text1"/>
                <w:szCs w:val="21"/>
                <w14:textFill>
                  <w14:solidFill>
                    <w14:schemeClr w14:val="tx1"/>
                  </w14:solidFill>
                </w14:textFill>
              </w:rPr>
              <w:t>观众</w:t>
            </w:r>
          </w:p>
        </w:tc>
      </w:tr>
    </w:tbl>
    <w:p>
      <w:pPr>
        <w:rPr>
          <w:rFonts w:ascii="微软雅黑" w:hAnsi="微软雅黑" w:eastAsia="微软雅黑" w:cstheme="minorEastAsia"/>
          <w:b/>
          <w:bCs/>
          <w:color w:val="000000" w:themeColor="text1"/>
          <w:sz w:val="28"/>
          <w:szCs w:val="28"/>
          <w14:textFill>
            <w14:solidFill>
              <w14:schemeClr w14:val="tx1"/>
            </w14:solidFill>
          </w14:textFill>
        </w:rPr>
      </w:pPr>
      <w:r>
        <w:rPr>
          <w:rFonts w:hint="eastAsia" w:ascii="微软雅黑" w:hAnsi="微软雅黑" w:eastAsia="微软雅黑" w:cstheme="minorEastAsia"/>
          <w:b/>
          <w:bCs/>
          <w:color w:val="000000" w:themeColor="text1"/>
          <w:sz w:val="28"/>
          <w:szCs w:val="28"/>
          <w14:textFill>
            <w14:solidFill>
              <w14:schemeClr w14:val="tx1"/>
            </w14:solidFill>
          </w14:textFill>
        </w:rPr>
        <w:t>共享国际化平台、共拓中西部市场</w:t>
      </w:r>
    </w:p>
    <w:p>
      <w:pPr>
        <w:widowControl/>
        <w:spacing w:line="360" w:lineRule="auto"/>
        <w:ind w:firstLine="480" w:firstLineChars="200"/>
        <w:jc w:val="left"/>
        <w:rPr>
          <w:rFonts w:ascii="微软雅黑" w:hAnsi="微软雅黑" w:eastAsia="微软雅黑" w:cstheme="minorEastAsia"/>
          <w:color w:val="000000" w:themeColor="text1"/>
          <w:sz w:val="24"/>
          <w:szCs w:val="24"/>
          <w14:textFill>
            <w14:solidFill>
              <w14:schemeClr w14:val="tx1"/>
            </w14:solidFill>
          </w14:textFill>
        </w:rPr>
      </w:pPr>
      <w:bookmarkStart w:id="4" w:name="OLE_LINK9"/>
      <w:r>
        <w:rPr>
          <w:rFonts w:hint="eastAsia" w:ascii="微软雅黑" w:hAnsi="微软雅黑" w:eastAsia="微软雅黑" w:cstheme="minorEastAsia"/>
          <w:color w:val="000000" w:themeColor="text1"/>
          <w:sz w:val="24"/>
          <w:szCs w:val="24"/>
          <w14:textFill>
            <w14:solidFill>
              <w14:schemeClr w14:val="tx1"/>
            </w14:solidFill>
          </w14:textFill>
        </w:rPr>
        <w:t>成都建筑及装饰材料博览会（简称：成都建博会/CCBD）创办于2004年，</w:t>
      </w:r>
      <w:r>
        <w:rPr>
          <w:rFonts w:ascii="微软雅黑" w:hAnsi="微软雅黑" w:eastAsia="微软雅黑" w:cstheme="minorEastAsia"/>
          <w:color w:val="000000" w:themeColor="text1"/>
          <w:sz w:val="24"/>
          <w:szCs w:val="24"/>
          <w14:textFill>
            <w14:solidFill>
              <w14:schemeClr w14:val="tx1"/>
            </w14:solidFill>
          </w14:textFill>
        </w:rPr>
        <w:t>经过19届的</w:t>
      </w:r>
      <w:r>
        <w:rPr>
          <w:rFonts w:hint="eastAsia" w:ascii="微软雅黑" w:hAnsi="微软雅黑" w:eastAsia="微软雅黑" w:cstheme="minorEastAsia"/>
          <w:color w:val="000000" w:themeColor="text1"/>
          <w:sz w:val="24"/>
          <w:szCs w:val="24"/>
          <w14:textFill>
            <w14:solidFill>
              <w14:schemeClr w14:val="tx1"/>
            </w14:solidFill>
          </w14:textFill>
        </w:rPr>
        <w:t>稳步发展，</w:t>
      </w:r>
      <w:bookmarkStart w:id="5" w:name="OLE_LINK10"/>
      <w:r>
        <w:rPr>
          <w:rFonts w:hint="eastAsia" w:ascii="微软雅黑" w:hAnsi="微软雅黑" w:eastAsia="微软雅黑" w:cstheme="minorEastAsia"/>
          <w:color w:val="000000" w:themeColor="text1"/>
          <w:sz w:val="24"/>
          <w:szCs w:val="24"/>
          <w14:textFill>
            <w14:solidFill>
              <w14:schemeClr w14:val="tx1"/>
            </w14:solidFill>
          </w14:textFill>
        </w:rPr>
        <w:t>其规模已跃居全国同类展会前三，</w:t>
      </w:r>
      <w:r>
        <w:rPr>
          <w:rFonts w:ascii="微软雅黑" w:hAnsi="微软雅黑" w:eastAsia="微软雅黑" w:cstheme="minorEastAsia"/>
          <w:color w:val="000000" w:themeColor="text1"/>
          <w:sz w:val="24"/>
          <w:szCs w:val="24"/>
          <w14:textFill>
            <w14:solidFill>
              <w14:schemeClr w14:val="tx1"/>
            </w14:solidFill>
          </w14:textFill>
        </w:rPr>
        <w:t>中西部</w:t>
      </w:r>
      <w:r>
        <w:rPr>
          <w:rFonts w:hint="eastAsia" w:ascii="微软雅黑" w:hAnsi="微软雅黑" w:eastAsia="微软雅黑" w:cstheme="minorEastAsia"/>
          <w:color w:val="000000" w:themeColor="text1"/>
          <w:sz w:val="24"/>
          <w:szCs w:val="24"/>
          <w14:textFill>
            <w14:solidFill>
              <w14:schemeClr w14:val="tx1"/>
            </w14:solidFill>
          </w14:textFill>
        </w:rPr>
        <w:t>第一</w:t>
      </w:r>
      <w:r>
        <w:rPr>
          <w:rFonts w:ascii="微软雅黑" w:hAnsi="微软雅黑" w:eastAsia="微软雅黑" w:cstheme="minorEastAsia"/>
          <w:color w:val="000000" w:themeColor="text1"/>
          <w:sz w:val="24"/>
          <w:szCs w:val="24"/>
          <w14:textFill>
            <w14:solidFill>
              <w14:schemeClr w14:val="tx1"/>
            </w14:solidFill>
          </w14:textFill>
        </w:rPr>
        <w:t>。</w:t>
      </w:r>
      <w:bookmarkEnd w:id="5"/>
      <w:r>
        <w:rPr>
          <w:rFonts w:hint="eastAsia" w:ascii="微软雅黑" w:hAnsi="微软雅黑" w:eastAsia="微软雅黑" w:cstheme="minorEastAsia"/>
          <w:color w:val="000000" w:themeColor="text1"/>
          <w:sz w:val="24"/>
          <w:szCs w:val="24"/>
          <w14:textFill>
            <w14:solidFill>
              <w14:schemeClr w14:val="tx1"/>
            </w14:solidFill>
          </w14:textFill>
        </w:rPr>
        <w:t>是成都市博览局、成都市经济与信息化委员会重点打造的成都品牌展会。</w:t>
      </w:r>
    </w:p>
    <w:p>
      <w:pPr>
        <w:widowControl/>
        <w:spacing w:line="360" w:lineRule="auto"/>
        <w:ind w:firstLine="480" w:firstLineChars="200"/>
        <w:jc w:val="left"/>
        <w:rPr>
          <w:rFonts w:ascii="微软雅黑" w:hAnsi="微软雅黑" w:eastAsia="微软雅黑" w:cstheme="minorEastAsia"/>
          <w:color w:val="000000" w:themeColor="text1"/>
          <w:sz w:val="24"/>
          <w:szCs w:val="24"/>
          <w14:textFill>
            <w14:solidFill>
              <w14:schemeClr w14:val="tx1"/>
            </w14:solidFill>
          </w14:textFill>
        </w:rPr>
      </w:pPr>
      <w:bookmarkStart w:id="6" w:name="OLE_LINK11"/>
      <w:bookmarkStart w:id="7" w:name="OLE_LINK12"/>
      <w:r>
        <w:rPr>
          <w:rFonts w:ascii="微软雅黑" w:hAnsi="微软雅黑" w:eastAsia="微软雅黑" w:cstheme="minorEastAsia"/>
          <w:color w:val="000000" w:themeColor="text1"/>
          <w:sz w:val="24"/>
          <w:szCs w:val="24"/>
          <w14:textFill>
            <w14:solidFill>
              <w14:schemeClr w14:val="tx1"/>
            </w14:solidFill>
          </w14:textFill>
        </w:rPr>
        <w:t>成都建博会致力于</w:t>
      </w:r>
      <w:r>
        <w:rPr>
          <w:rFonts w:hint="eastAsia" w:ascii="微软雅黑" w:hAnsi="微软雅黑" w:eastAsia="微软雅黑" w:cstheme="minorEastAsia"/>
          <w:color w:val="000000" w:themeColor="text1"/>
          <w:sz w:val="24"/>
          <w:szCs w:val="24"/>
          <w14:textFill>
            <w14:solidFill>
              <w14:schemeClr w14:val="tx1"/>
            </w14:solidFill>
          </w14:textFill>
        </w:rPr>
        <w:t>大</w:t>
      </w:r>
      <w:r>
        <w:rPr>
          <w:rFonts w:ascii="微软雅黑" w:hAnsi="微软雅黑" w:eastAsia="微软雅黑" w:cstheme="minorEastAsia"/>
          <w:color w:val="000000" w:themeColor="text1"/>
          <w:sz w:val="24"/>
          <w:szCs w:val="24"/>
          <w14:textFill>
            <w14:solidFill>
              <w14:schemeClr w14:val="tx1"/>
            </w14:solidFill>
          </w14:textFill>
        </w:rPr>
        <w:t>家居</w:t>
      </w:r>
      <w:r>
        <w:rPr>
          <w:rFonts w:hint="eastAsia" w:ascii="微软雅黑" w:hAnsi="微软雅黑" w:eastAsia="微软雅黑" w:cstheme="minorEastAsia"/>
          <w:color w:val="000000" w:themeColor="text1"/>
          <w:sz w:val="24"/>
          <w:szCs w:val="24"/>
          <w14:textFill>
            <w14:solidFill>
              <w14:schemeClr w14:val="tx1"/>
            </w14:solidFill>
          </w14:textFill>
        </w:rPr>
        <w:t>建装</w:t>
      </w:r>
      <w:r>
        <w:rPr>
          <w:rFonts w:ascii="微软雅黑" w:hAnsi="微软雅黑" w:eastAsia="微软雅黑" w:cstheme="minorEastAsia"/>
          <w:color w:val="000000" w:themeColor="text1"/>
          <w:sz w:val="24"/>
          <w:szCs w:val="24"/>
          <w14:textFill>
            <w14:solidFill>
              <w14:schemeClr w14:val="tx1"/>
            </w14:solidFill>
          </w14:textFill>
        </w:rPr>
        <w:t>行业“全产业链”产品展示布局，以展示</w:t>
      </w:r>
      <w:r>
        <w:rPr>
          <w:rFonts w:hint="eastAsia" w:ascii="微软雅黑" w:hAnsi="微软雅黑" w:eastAsia="微软雅黑" w:cstheme="minorEastAsia"/>
          <w:color w:val="000000" w:themeColor="text1"/>
          <w:sz w:val="24"/>
          <w:szCs w:val="24"/>
          <w14:textFill>
            <w14:solidFill>
              <w14:schemeClr w14:val="tx1"/>
            </w14:solidFill>
          </w14:textFill>
        </w:rPr>
        <w:t>全屋定制</w:t>
      </w:r>
      <w:r>
        <w:rPr>
          <w:rFonts w:ascii="微软雅黑" w:hAnsi="微软雅黑" w:eastAsia="微软雅黑" w:cstheme="minorEastAsia"/>
          <w:color w:val="000000" w:themeColor="text1"/>
          <w:sz w:val="24"/>
          <w:szCs w:val="24"/>
          <w14:textFill>
            <w14:solidFill>
              <w14:schemeClr w14:val="tx1"/>
            </w14:solidFill>
          </w14:textFill>
        </w:rPr>
        <w:t>、</w:t>
      </w:r>
      <w:r>
        <w:rPr>
          <w:rFonts w:hint="eastAsia" w:ascii="微软雅黑" w:hAnsi="微软雅黑" w:eastAsia="微软雅黑" w:cstheme="minorEastAsia"/>
          <w:color w:val="000000" w:themeColor="text1"/>
          <w:sz w:val="24"/>
          <w:szCs w:val="24"/>
          <w14:textFill>
            <w14:solidFill>
              <w14:schemeClr w14:val="tx1"/>
            </w14:solidFill>
          </w14:textFill>
        </w:rPr>
        <w:t>顶墙地材</w:t>
      </w:r>
      <w:r>
        <w:rPr>
          <w:rFonts w:ascii="微软雅黑" w:hAnsi="微软雅黑" w:eastAsia="微软雅黑" w:cstheme="minorEastAsia"/>
          <w:color w:val="000000" w:themeColor="text1"/>
          <w:sz w:val="24"/>
          <w:szCs w:val="24"/>
          <w14:textFill>
            <w14:solidFill>
              <w14:schemeClr w14:val="tx1"/>
            </w14:solidFill>
          </w14:textFill>
        </w:rPr>
        <w:t>、智能家居</w:t>
      </w:r>
      <w:r>
        <w:rPr>
          <w:rFonts w:hint="eastAsia" w:ascii="微软雅黑" w:hAnsi="微软雅黑" w:eastAsia="微软雅黑" w:cstheme="minorEastAsia"/>
          <w:color w:val="000000" w:themeColor="text1"/>
          <w:sz w:val="24"/>
          <w:szCs w:val="24"/>
          <w14:textFill>
            <w14:solidFill>
              <w14:schemeClr w14:val="tx1"/>
            </w14:solidFill>
          </w14:textFill>
        </w:rPr>
        <w:t>及卫浴</w:t>
      </w:r>
      <w:r>
        <w:rPr>
          <w:rFonts w:ascii="微软雅黑" w:hAnsi="微软雅黑" w:eastAsia="微软雅黑" w:cstheme="minorEastAsia"/>
          <w:color w:val="000000" w:themeColor="text1"/>
          <w:sz w:val="24"/>
          <w:szCs w:val="24"/>
          <w14:textFill>
            <w14:solidFill>
              <w14:schemeClr w14:val="tx1"/>
            </w14:solidFill>
          </w14:textFill>
        </w:rPr>
        <w:t>、</w:t>
      </w:r>
      <w:r>
        <w:rPr>
          <w:rFonts w:hint="eastAsia" w:ascii="微软雅黑" w:hAnsi="微软雅黑" w:eastAsia="微软雅黑" w:cstheme="minorEastAsia"/>
          <w:color w:val="000000" w:themeColor="text1"/>
          <w:sz w:val="24"/>
          <w:szCs w:val="24"/>
          <w14:textFill>
            <w14:solidFill>
              <w14:schemeClr w14:val="tx1"/>
            </w14:solidFill>
          </w14:textFill>
        </w:rPr>
        <w:t>灯饰照明、系统</w:t>
      </w:r>
      <w:r>
        <w:rPr>
          <w:rFonts w:ascii="微软雅黑" w:hAnsi="微软雅黑" w:eastAsia="微软雅黑" w:cstheme="minorEastAsia"/>
          <w:color w:val="000000" w:themeColor="text1"/>
          <w:sz w:val="24"/>
          <w:szCs w:val="24"/>
          <w14:textFill>
            <w14:solidFill>
              <w14:schemeClr w14:val="tx1"/>
            </w14:solidFill>
          </w14:textFill>
        </w:rPr>
        <w:t>门窗、</w:t>
      </w:r>
      <w:r>
        <w:rPr>
          <w:rFonts w:hint="eastAsia" w:ascii="微软雅黑" w:hAnsi="微软雅黑" w:eastAsia="微软雅黑" w:cstheme="minorEastAsia"/>
          <w:color w:val="000000" w:themeColor="text1"/>
          <w:sz w:val="24"/>
          <w:szCs w:val="24"/>
          <w14:textFill>
            <w14:solidFill>
              <w14:schemeClr w14:val="tx1"/>
            </w14:solidFill>
          </w14:textFill>
        </w:rPr>
        <w:t>建筑新材料、装配式建筑及园林、暖通</w:t>
      </w:r>
      <w:r>
        <w:rPr>
          <w:rFonts w:ascii="微软雅黑" w:hAnsi="微软雅黑" w:eastAsia="微软雅黑" w:cstheme="minorEastAsia"/>
          <w:color w:val="000000" w:themeColor="text1"/>
          <w:sz w:val="24"/>
          <w:szCs w:val="24"/>
          <w14:textFill>
            <w14:solidFill>
              <w14:schemeClr w14:val="tx1"/>
            </w14:solidFill>
          </w14:textFill>
        </w:rPr>
        <w:t>舒适家居</w:t>
      </w:r>
      <w:r>
        <w:rPr>
          <w:rFonts w:hint="eastAsia" w:ascii="微软雅黑" w:hAnsi="微软雅黑" w:eastAsia="微软雅黑" w:cstheme="minorEastAsia"/>
          <w:color w:val="000000" w:themeColor="text1"/>
          <w:sz w:val="24"/>
          <w:szCs w:val="24"/>
          <w14:textFill>
            <w14:solidFill>
              <w14:schemeClr w14:val="tx1"/>
            </w14:solidFill>
          </w14:textFill>
        </w:rPr>
        <w:t>等</w:t>
      </w:r>
      <w:r>
        <w:rPr>
          <w:rFonts w:ascii="微软雅黑" w:hAnsi="微软雅黑" w:eastAsia="微软雅黑" w:cstheme="minorEastAsia"/>
          <w:color w:val="000000" w:themeColor="text1"/>
          <w:sz w:val="24"/>
          <w:szCs w:val="24"/>
          <w14:textFill>
            <w14:solidFill>
              <w14:schemeClr w14:val="tx1"/>
            </w14:solidFill>
          </w14:textFill>
        </w:rPr>
        <w:t>为特点，努力为</w:t>
      </w:r>
      <w:r>
        <w:rPr>
          <w:rFonts w:hint="eastAsia" w:ascii="微软雅黑" w:hAnsi="微软雅黑" w:eastAsia="微软雅黑" w:cstheme="minorEastAsia"/>
          <w:color w:val="000000" w:themeColor="text1"/>
          <w:sz w:val="24"/>
          <w:szCs w:val="24"/>
          <w14:textFill>
            <w14:solidFill>
              <w14:schemeClr w14:val="tx1"/>
            </w14:solidFill>
          </w14:textFill>
        </w:rPr>
        <w:t>大家居建装</w:t>
      </w:r>
      <w:r>
        <w:rPr>
          <w:rFonts w:ascii="微软雅黑" w:hAnsi="微软雅黑" w:eastAsia="微软雅黑" w:cstheme="minorEastAsia"/>
          <w:color w:val="000000" w:themeColor="text1"/>
          <w:sz w:val="24"/>
          <w:szCs w:val="24"/>
          <w14:textFill>
            <w14:solidFill>
              <w14:schemeClr w14:val="tx1"/>
            </w14:solidFill>
          </w14:textFill>
        </w:rPr>
        <w:t>行业提供完整解决方案。</w:t>
      </w:r>
    </w:p>
    <w:bookmarkEnd w:id="4"/>
    <w:bookmarkEnd w:id="6"/>
    <w:bookmarkEnd w:id="7"/>
    <w:p>
      <w:pPr>
        <w:widowControl/>
        <w:spacing w:line="360" w:lineRule="auto"/>
        <w:ind w:firstLine="480" w:firstLineChars="200"/>
        <w:jc w:val="left"/>
        <w:rPr>
          <w:rFonts w:ascii="微软雅黑" w:hAnsi="微软雅黑" w:eastAsia="微软雅黑" w:cstheme="minorEastAsia"/>
          <w:color w:val="000000" w:themeColor="text1"/>
          <w:sz w:val="24"/>
          <w:szCs w:val="24"/>
          <w14:textFill>
            <w14:solidFill>
              <w14:schemeClr w14:val="tx1"/>
            </w14:solidFill>
          </w14:textFill>
        </w:rPr>
      </w:pPr>
      <w:r>
        <w:rPr>
          <w:rFonts w:hint="eastAsia" w:ascii="微软雅黑" w:hAnsi="微软雅黑" w:eastAsia="微软雅黑" w:cstheme="minorEastAsia"/>
          <w:color w:val="000000" w:themeColor="text1"/>
          <w:sz w:val="24"/>
          <w:szCs w:val="24"/>
          <w14:textFill>
            <w14:solidFill>
              <w14:schemeClr w14:val="tx1"/>
            </w14:solidFill>
          </w14:textFill>
        </w:rPr>
        <w:t>专业的会展主办背景资源，</w:t>
      </w:r>
      <w:bookmarkStart w:id="8" w:name="OLE_LINK13"/>
      <w:bookmarkStart w:id="9" w:name="OLE_LINK14"/>
      <w:r>
        <w:rPr>
          <w:rFonts w:hint="eastAsia" w:ascii="微软雅黑" w:hAnsi="微软雅黑" w:eastAsia="微软雅黑" w:cstheme="minorEastAsia"/>
          <w:color w:val="000000" w:themeColor="text1"/>
          <w:sz w:val="24"/>
          <w:szCs w:val="24"/>
          <w14:textFill>
            <w14:solidFill>
              <w14:schemeClr w14:val="tx1"/>
            </w14:solidFill>
          </w14:textFill>
        </w:rPr>
        <w:t>英富曼天一展览（成都）有限公司隶属于</w:t>
      </w:r>
      <w:r>
        <w:rPr>
          <w:rFonts w:hint="eastAsia" w:ascii="微软雅黑" w:hAnsi="微软雅黑" w:eastAsia="微软雅黑" w:cstheme="minorEastAsia"/>
          <w:bCs/>
          <w:color w:val="000000" w:themeColor="text1"/>
          <w:sz w:val="24"/>
          <w:szCs w:val="24"/>
          <w14:textFill>
            <w14:solidFill>
              <w14:schemeClr w14:val="tx1"/>
            </w14:solidFill>
          </w14:textFill>
        </w:rPr>
        <w:t>Informa</w:t>
      </w:r>
      <w:r>
        <w:rPr>
          <w:rFonts w:ascii="微软雅黑" w:hAnsi="微软雅黑" w:eastAsia="微软雅黑" w:cstheme="minorEastAsia"/>
          <w:bCs/>
          <w:color w:val="000000" w:themeColor="text1"/>
          <w:sz w:val="24"/>
          <w:szCs w:val="24"/>
          <w14:textFill>
            <w14:solidFill>
              <w14:schemeClr w14:val="tx1"/>
            </w14:solidFill>
          </w14:textFill>
        </w:rPr>
        <w:t xml:space="preserve"> </w:t>
      </w:r>
      <w:r>
        <w:rPr>
          <w:rFonts w:hint="eastAsia" w:ascii="微软雅黑" w:hAnsi="微软雅黑" w:eastAsia="微软雅黑" w:cstheme="minorEastAsia"/>
          <w:bCs/>
          <w:color w:val="000000" w:themeColor="text1"/>
          <w:sz w:val="24"/>
          <w:szCs w:val="24"/>
          <w14:textFill>
            <w14:solidFill>
              <w14:schemeClr w14:val="tx1"/>
            </w14:solidFill>
          </w14:textFill>
        </w:rPr>
        <w:t>markets</w:t>
      </w:r>
      <w:r>
        <w:rPr>
          <w:rFonts w:hint="eastAsia" w:ascii="微软雅黑" w:hAnsi="微软雅黑" w:eastAsia="微软雅黑" w:cstheme="minorEastAsia"/>
          <w:color w:val="000000" w:themeColor="text1"/>
          <w:sz w:val="24"/>
          <w:szCs w:val="24"/>
          <w14:textFill>
            <w14:solidFill>
              <w14:schemeClr w14:val="tx1"/>
            </w14:solidFill>
          </w14:textFill>
        </w:rPr>
        <w:t>英富曼会展</w:t>
      </w:r>
      <w:r>
        <w:rPr>
          <w:rFonts w:ascii="微软雅黑" w:hAnsi="微软雅黑" w:eastAsia="微软雅黑" w:cstheme="minorEastAsia"/>
          <w:color w:val="000000" w:themeColor="text1"/>
          <w:sz w:val="24"/>
          <w:szCs w:val="24"/>
          <w14:textFill>
            <w14:solidFill>
              <w14:schemeClr w14:val="tx1"/>
            </w14:solidFill>
          </w14:textFill>
        </w:rPr>
        <w:t>集团</w:t>
      </w:r>
      <w:r>
        <w:rPr>
          <w:rFonts w:hint="eastAsia" w:ascii="微软雅黑" w:hAnsi="微软雅黑" w:eastAsia="微软雅黑" w:cstheme="minorEastAsia"/>
          <w:color w:val="000000" w:themeColor="text1"/>
          <w:sz w:val="24"/>
          <w:szCs w:val="24"/>
          <w14:textFill>
            <w14:solidFill>
              <w14:schemeClr w14:val="tx1"/>
            </w14:solidFill>
          </w14:textFill>
        </w:rPr>
        <w:t>（Informa集团和U</w:t>
      </w:r>
      <w:r>
        <w:rPr>
          <w:rFonts w:ascii="微软雅黑" w:hAnsi="微软雅黑" w:eastAsia="微软雅黑" w:cstheme="minorEastAsia"/>
          <w:color w:val="000000" w:themeColor="text1"/>
          <w:sz w:val="24"/>
          <w:szCs w:val="24"/>
          <w14:textFill>
            <w14:solidFill>
              <w14:schemeClr w14:val="tx1"/>
            </w14:solidFill>
          </w14:textFill>
        </w:rPr>
        <w:t>BM</w:t>
      </w:r>
      <w:r>
        <w:rPr>
          <w:rFonts w:hint="eastAsia" w:ascii="微软雅黑" w:hAnsi="微软雅黑" w:eastAsia="微软雅黑" w:cstheme="minorEastAsia"/>
          <w:color w:val="000000" w:themeColor="text1"/>
          <w:sz w:val="24"/>
          <w:szCs w:val="24"/>
          <w14:textFill>
            <w14:solidFill>
              <w14:schemeClr w14:val="tx1"/>
            </w14:solidFill>
          </w14:textFill>
        </w:rPr>
        <w:t>集团合资成立），致力于打造国际领先的B2B信息服务集团，以及全球最大的商营展会主办机构。每年在全球举办各类专业性展会超</w:t>
      </w:r>
      <w:r>
        <w:rPr>
          <w:rFonts w:ascii="微软雅黑" w:hAnsi="微软雅黑" w:eastAsia="微软雅黑" w:cstheme="minorEastAsia"/>
          <w:color w:val="000000" w:themeColor="text1"/>
          <w:sz w:val="24"/>
          <w:szCs w:val="24"/>
          <w14:textFill>
            <w14:solidFill>
              <w14:schemeClr w14:val="tx1"/>
            </w14:solidFill>
          </w14:textFill>
        </w:rPr>
        <w:t>500</w:t>
      </w:r>
      <w:r>
        <w:rPr>
          <w:rFonts w:hint="eastAsia" w:ascii="微软雅黑" w:hAnsi="微软雅黑" w:eastAsia="微软雅黑" w:cstheme="minorEastAsia"/>
          <w:color w:val="000000" w:themeColor="text1"/>
          <w:sz w:val="24"/>
          <w:szCs w:val="24"/>
          <w14:textFill>
            <w14:solidFill>
              <w14:schemeClr w14:val="tx1"/>
            </w14:solidFill>
          </w14:textFill>
        </w:rPr>
        <w:t>余场，集团旗下家居建筑类展览包括：</w:t>
      </w:r>
      <w:bookmarkStart w:id="10" w:name="_Hlk8894722"/>
      <w:r>
        <w:rPr>
          <w:rFonts w:hint="eastAsia" w:ascii="微软雅黑" w:hAnsi="微软雅黑" w:eastAsia="微软雅黑" w:cstheme="minorEastAsia"/>
          <w:color w:val="000000" w:themeColor="text1"/>
          <w:sz w:val="24"/>
          <w:szCs w:val="24"/>
          <w14:textFill>
            <w14:solidFill>
              <w14:schemeClr w14:val="tx1"/>
            </w14:solidFill>
          </w14:textFill>
        </w:rPr>
        <w:t>铝门窗幕墙新产品博览会；混凝土世界博览会；亚洲混凝土世界博览会；印度混凝土世界博览会；上海国际地面墙面材料、铺装及设计展；国际地面材料、石材及瓷砖展览会；上海家居设计周；中国国际家具博览会；摩登上海时尚家居展；</w:t>
      </w:r>
      <w:bookmarkEnd w:id="10"/>
      <w:r>
        <w:rPr>
          <w:rFonts w:hint="eastAsia" w:ascii="微软雅黑" w:hAnsi="微软雅黑" w:eastAsia="微软雅黑" w:cstheme="minorEastAsia"/>
          <w:color w:val="000000" w:themeColor="text1"/>
          <w:sz w:val="24"/>
          <w:szCs w:val="24"/>
          <w14:textFill>
            <w14:solidFill>
              <w14:schemeClr w14:val="tx1"/>
            </w14:solidFill>
          </w14:textFill>
        </w:rPr>
        <w:t>美国建筑师协会会议；美国国际屋面及防水材料博览会；马来西亚国际绿色建筑及建筑设计展等。2</w:t>
      </w:r>
      <w:r>
        <w:rPr>
          <w:rFonts w:ascii="微软雅黑" w:hAnsi="微软雅黑" w:eastAsia="微软雅黑" w:cstheme="minorEastAsia"/>
          <w:color w:val="000000" w:themeColor="text1"/>
          <w:sz w:val="24"/>
          <w:szCs w:val="24"/>
          <w14:textFill>
            <w14:solidFill>
              <w14:schemeClr w14:val="tx1"/>
            </w14:solidFill>
          </w14:textFill>
        </w:rPr>
        <w:t>020</w:t>
      </w:r>
      <w:r>
        <w:rPr>
          <w:rFonts w:hint="eastAsia" w:ascii="微软雅黑" w:hAnsi="微软雅黑" w:eastAsia="微软雅黑" w:cstheme="minorEastAsia"/>
          <w:color w:val="000000" w:themeColor="text1"/>
          <w:sz w:val="24"/>
          <w:szCs w:val="24"/>
          <w14:textFill>
            <w14:solidFill>
              <w14:schemeClr w14:val="tx1"/>
            </w14:solidFill>
          </w14:textFill>
        </w:rPr>
        <w:t>年将融入国际优势资源，强势助阵成都建博会。</w:t>
      </w:r>
      <w:r>
        <w:rPr>
          <w:rFonts w:ascii="微软雅黑" w:hAnsi="微软雅黑" w:eastAsia="微软雅黑" w:cstheme="minorEastAsia"/>
          <w:color w:val="000000" w:themeColor="text1"/>
          <w:sz w:val="24"/>
          <w:szCs w:val="24"/>
          <w14:textFill>
            <w14:solidFill>
              <w14:schemeClr w14:val="tx1"/>
            </w14:solidFill>
          </w14:textFill>
        </w:rPr>
        <w:t>将进一步推动成都建博会</w:t>
      </w:r>
      <w:r>
        <w:rPr>
          <w:rFonts w:hint="eastAsia" w:ascii="微软雅黑" w:hAnsi="微软雅黑" w:eastAsia="微软雅黑" w:cstheme="minorEastAsia"/>
          <w:color w:val="000000" w:themeColor="text1"/>
          <w:sz w:val="24"/>
          <w:szCs w:val="24"/>
          <w14:textFill>
            <w14:solidFill>
              <w14:schemeClr w14:val="tx1"/>
            </w14:solidFill>
          </w14:textFill>
        </w:rPr>
        <w:t>国际化</w:t>
      </w:r>
      <w:r>
        <w:rPr>
          <w:rFonts w:ascii="微软雅黑" w:hAnsi="微软雅黑" w:eastAsia="微软雅黑" w:cstheme="minorEastAsia"/>
          <w:color w:val="000000" w:themeColor="text1"/>
          <w:sz w:val="24"/>
          <w:szCs w:val="24"/>
          <w14:textFill>
            <w14:solidFill>
              <w14:schemeClr w14:val="tx1"/>
            </w14:solidFill>
          </w14:textFill>
        </w:rPr>
        <w:t>、品牌化、</w:t>
      </w:r>
      <w:r>
        <w:rPr>
          <w:rFonts w:hint="eastAsia" w:ascii="微软雅黑" w:hAnsi="微软雅黑" w:eastAsia="微软雅黑" w:cstheme="minorEastAsia"/>
          <w:color w:val="000000" w:themeColor="text1"/>
          <w:sz w:val="24"/>
          <w:szCs w:val="24"/>
          <w14:textFill>
            <w14:solidFill>
              <w14:schemeClr w14:val="tx1"/>
            </w14:solidFill>
          </w14:textFill>
        </w:rPr>
        <w:t>专业化</w:t>
      </w:r>
      <w:r>
        <w:rPr>
          <w:rFonts w:ascii="微软雅黑" w:hAnsi="微软雅黑" w:eastAsia="微软雅黑" w:cstheme="minorEastAsia"/>
          <w:color w:val="000000" w:themeColor="text1"/>
          <w:sz w:val="24"/>
          <w:szCs w:val="24"/>
          <w14:textFill>
            <w14:solidFill>
              <w14:schemeClr w14:val="tx1"/>
            </w14:solidFill>
          </w14:textFill>
        </w:rPr>
        <w:t>发展步伐，将为中国最具生机与潜力的中西部建材市场提供更加全面的商业平台</w:t>
      </w:r>
      <w:r>
        <w:rPr>
          <w:rFonts w:hint="eastAsia" w:ascii="微软雅黑" w:hAnsi="微软雅黑" w:eastAsia="微软雅黑" w:cstheme="minorEastAsia"/>
          <w:color w:val="000000" w:themeColor="text1"/>
          <w:sz w:val="24"/>
          <w:szCs w:val="24"/>
          <w14:textFill>
            <w14:solidFill>
              <w14:schemeClr w14:val="tx1"/>
            </w14:solidFill>
          </w14:textFill>
        </w:rPr>
        <w:t>。</w:t>
      </w:r>
      <w:bookmarkEnd w:id="8"/>
      <w:bookmarkEnd w:id="9"/>
    </w:p>
    <w:p>
      <w:pPr>
        <w:rPr>
          <w:rFonts w:ascii="微软雅黑" w:hAnsi="微软雅黑" w:eastAsia="微软雅黑" w:cstheme="minorEastAsia"/>
          <w:b/>
          <w:bCs/>
          <w:color w:val="000000" w:themeColor="text1"/>
          <w:sz w:val="32"/>
          <w:szCs w:val="32"/>
          <w14:textFill>
            <w14:solidFill>
              <w14:schemeClr w14:val="tx1"/>
            </w14:solidFill>
          </w14:textFill>
        </w:rPr>
      </w:pPr>
    </w:p>
    <w:p>
      <w:pPr>
        <w:rPr>
          <w:rFonts w:ascii="微软雅黑" w:hAnsi="微软雅黑" w:eastAsia="微软雅黑" w:cstheme="minorEastAsia"/>
          <w:b/>
          <w:bCs/>
          <w:color w:val="000000" w:themeColor="text1"/>
          <w:sz w:val="28"/>
          <w:szCs w:val="28"/>
          <w14:textFill>
            <w14:solidFill>
              <w14:schemeClr w14:val="tx1"/>
            </w14:solidFill>
          </w14:textFill>
        </w:rPr>
      </w:pPr>
      <w:r>
        <w:rPr>
          <w:rFonts w:hint="eastAsia" w:ascii="微软雅黑" w:hAnsi="微软雅黑" w:eastAsia="微软雅黑" w:cstheme="minorEastAsia"/>
          <w:b/>
          <w:bCs/>
          <w:color w:val="000000" w:themeColor="text1"/>
          <w:sz w:val="28"/>
          <w:szCs w:val="28"/>
          <w14:textFill>
            <w14:solidFill>
              <w14:schemeClr w14:val="tx1"/>
            </w14:solidFill>
          </w14:textFill>
        </w:rPr>
        <w:t>展馆规划</w:t>
      </w:r>
    </w:p>
    <w:p>
      <w:pPr>
        <w:rPr>
          <w:rFonts w:ascii="微软雅黑" w:hAnsi="微软雅黑" w:eastAsia="微软雅黑"/>
          <w:sz w:val="24"/>
          <w:szCs w:val="24"/>
        </w:rPr>
        <w:sectPr>
          <w:type w:val="continuous"/>
          <w:pgSz w:w="11906" w:h="16838"/>
          <w:pgMar w:top="1440" w:right="1080" w:bottom="1440" w:left="1080" w:header="567" w:footer="992" w:gutter="0"/>
          <w:cols w:space="425" w:num="1"/>
          <w:docGrid w:type="lines" w:linePitch="312" w:charSpace="0"/>
        </w:sectPr>
      </w:pPr>
      <w:r>
        <w:rPr>
          <w:rFonts w:ascii="微软雅黑" w:hAnsi="微软雅黑" w:eastAsia="微软雅黑"/>
          <w:sz w:val="24"/>
          <w:szCs w:val="24"/>
        </w:rPr>
        <w:drawing>
          <wp:inline distT="0" distB="0" distL="0" distR="0">
            <wp:extent cx="5984875" cy="26308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992636" cy="2634350"/>
                    </a:xfrm>
                    <a:prstGeom prst="rect">
                      <a:avLst/>
                    </a:prstGeom>
                    <a:noFill/>
                    <a:ln>
                      <a:noFill/>
                    </a:ln>
                  </pic:spPr>
                </pic:pic>
              </a:graphicData>
            </a:graphic>
          </wp:inline>
        </w:drawing>
      </w:r>
    </w:p>
    <w:p>
      <w:pPr>
        <w:adjustRightInd w:val="0"/>
        <w:snapToGrid w:val="0"/>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1 门窗馆</w:t>
      </w:r>
    </w:p>
    <w:p>
      <w:pPr>
        <w:adjustRightInd w:val="0"/>
        <w:snapToGrid w:val="0"/>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2 门窗馆</w:t>
      </w:r>
    </w:p>
    <w:p>
      <w:pPr>
        <w:adjustRightInd w:val="0"/>
        <w:snapToGrid w:val="0"/>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3 门窗馆</w:t>
      </w:r>
    </w:p>
    <w:p>
      <w:pPr>
        <w:adjustRightInd w:val="0"/>
        <w:snapToGrid w:val="0"/>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3-4连接馆 陶瓷展区</w:t>
      </w:r>
    </w:p>
    <w:p>
      <w:pPr>
        <w:adjustRightInd w:val="0"/>
        <w:snapToGrid w:val="0"/>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4 智能家居/卫浴馆</w:t>
      </w:r>
    </w:p>
    <w:p>
      <w:pPr>
        <w:adjustRightInd w:val="0"/>
        <w:snapToGrid w:val="0"/>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5 墙面/吊顶/地材/软装馆</w:t>
      </w:r>
    </w:p>
    <w:p>
      <w:pPr>
        <w:adjustRightInd w:val="0"/>
        <w:snapToGrid w:val="0"/>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6灯饰照明馆</w:t>
      </w:r>
    </w:p>
    <w:p>
      <w:pPr>
        <w:adjustRightInd w:val="0"/>
        <w:snapToGrid w:val="0"/>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9 活动论坛馆</w:t>
      </w:r>
    </w:p>
    <w:p>
      <w:pPr>
        <w:adjustRightInd w:val="0"/>
        <w:snapToGrid w:val="0"/>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10 暖通净水馆</w:t>
      </w:r>
    </w:p>
    <w:p>
      <w:pPr>
        <w:adjustRightInd w:val="0"/>
        <w:snapToGrid w:val="0"/>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10-11连接馆 厨电展区</w:t>
      </w:r>
    </w:p>
    <w:p>
      <w:pPr>
        <w:adjustRightInd w:val="0"/>
        <w:snapToGrid w:val="0"/>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11 定制家居馆</w:t>
      </w:r>
    </w:p>
    <w:p>
      <w:pPr>
        <w:adjustRightInd w:val="0"/>
        <w:snapToGrid w:val="0"/>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14 定制家居馆</w:t>
      </w:r>
    </w:p>
    <w:p>
      <w:pPr>
        <w:adjustRightInd w:val="0"/>
        <w:snapToGrid w:val="0"/>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1</w:t>
      </w:r>
      <w:r>
        <w:rPr>
          <w:rFonts w:ascii="微软雅黑" w:hAnsi="微软雅黑" w:eastAsia="微软雅黑"/>
          <w:color w:val="000000" w:themeColor="text1"/>
          <w:sz w:val="18"/>
          <w:szCs w:val="18"/>
          <w14:textFill>
            <w14:solidFill>
              <w14:schemeClr w14:val="tx1"/>
            </w14:solidFill>
          </w14:textFill>
        </w:rPr>
        <w:t>4-15</w:t>
      </w:r>
      <w:r>
        <w:rPr>
          <w:rFonts w:hint="eastAsia" w:ascii="微软雅黑" w:hAnsi="微软雅黑" w:eastAsia="微软雅黑"/>
          <w:color w:val="000000" w:themeColor="text1"/>
          <w:sz w:val="18"/>
          <w:szCs w:val="18"/>
          <w14:textFill>
            <w14:solidFill>
              <w14:schemeClr w14:val="tx1"/>
            </w14:solidFill>
          </w14:textFill>
        </w:rPr>
        <w:t>连接馆 定制设备展区</w:t>
      </w:r>
    </w:p>
    <w:p>
      <w:pPr>
        <w:adjustRightInd w:val="0"/>
        <w:snapToGrid w:val="0"/>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15 建筑新材料馆</w:t>
      </w:r>
    </w:p>
    <w:p>
      <w:pPr>
        <w:adjustRightInd w:val="0"/>
        <w:snapToGrid w:val="0"/>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16 装配式建筑/园林馆</w:t>
      </w:r>
    </w:p>
    <w:p>
      <w:pPr>
        <w:spacing w:before="312" w:beforeLines="100" w:line="200" w:lineRule="exact"/>
        <w:rPr>
          <w:rFonts w:ascii="微软雅黑" w:hAnsi="微软雅黑" w:eastAsia="微软雅黑" w:cstheme="minorEastAsia"/>
          <w:b/>
          <w:bCs/>
          <w:color w:val="000000" w:themeColor="text1"/>
          <w:sz w:val="28"/>
          <w:szCs w:val="28"/>
          <w14:textFill>
            <w14:solidFill>
              <w14:schemeClr w14:val="tx1"/>
            </w14:solidFill>
          </w14:textFill>
        </w:rPr>
        <w:sectPr>
          <w:type w:val="continuous"/>
          <w:pgSz w:w="11906" w:h="16838"/>
          <w:pgMar w:top="1440" w:right="1080" w:bottom="1440" w:left="1080" w:header="567" w:footer="992" w:gutter="0"/>
          <w:cols w:space="425" w:num="3"/>
          <w:docGrid w:type="lines" w:linePitch="312" w:charSpace="0"/>
        </w:sectPr>
      </w:pPr>
    </w:p>
    <w:p>
      <w:pPr>
        <w:spacing w:before="286" w:beforeLines="100"/>
        <w:rPr>
          <w:rFonts w:ascii="微软雅黑" w:hAnsi="微软雅黑" w:eastAsia="微软雅黑" w:cstheme="minorEastAsia"/>
          <w:b/>
          <w:bCs/>
          <w:color w:val="000000" w:themeColor="text1"/>
          <w:sz w:val="32"/>
          <w:szCs w:val="32"/>
          <w14:textFill>
            <w14:solidFill>
              <w14:schemeClr w14:val="tx1"/>
            </w14:solidFill>
          </w14:textFill>
        </w:rPr>
        <w:sectPr>
          <w:type w:val="continuous"/>
          <w:pgSz w:w="11906" w:h="16838"/>
          <w:pgMar w:top="1440" w:right="1077" w:bottom="1440" w:left="1077" w:header="567" w:footer="992" w:gutter="0"/>
          <w:cols w:space="424" w:num="4"/>
          <w:docGrid w:type="lines" w:linePitch="286" w:charSpace="0"/>
        </w:sectPr>
      </w:pPr>
    </w:p>
    <w:p>
      <w:pPr>
        <w:rPr>
          <w:rFonts w:ascii="微软雅黑" w:hAnsi="微软雅黑" w:eastAsia="微软雅黑" w:cstheme="minorEastAsia"/>
          <w:color w:val="000000" w:themeColor="text1"/>
          <w:sz w:val="28"/>
          <w:szCs w:val="28"/>
          <w14:textFill>
            <w14:solidFill>
              <w14:schemeClr w14:val="tx1"/>
            </w14:solidFill>
          </w14:textFill>
        </w:rPr>
      </w:pPr>
      <w:r>
        <w:rPr>
          <w:rFonts w:hint="eastAsia" w:ascii="微软雅黑" w:hAnsi="微软雅黑" w:eastAsia="微软雅黑" w:cstheme="minorEastAsia"/>
          <w:b/>
          <w:bCs/>
          <w:color w:val="000000" w:themeColor="text1"/>
          <w:sz w:val="28"/>
          <w:szCs w:val="28"/>
          <w14:textFill>
            <w14:solidFill>
              <w14:schemeClr w14:val="tx1"/>
            </w14:solidFill>
          </w14:textFill>
        </w:rPr>
        <w:t>20</w:t>
      </w:r>
      <w:r>
        <w:rPr>
          <w:rFonts w:ascii="微软雅黑" w:hAnsi="微软雅黑" w:eastAsia="微软雅黑" w:cstheme="minorEastAsia"/>
          <w:b/>
          <w:bCs/>
          <w:color w:val="000000" w:themeColor="text1"/>
          <w:sz w:val="28"/>
          <w:szCs w:val="28"/>
          <w14:textFill>
            <w14:solidFill>
              <w14:schemeClr w14:val="tx1"/>
            </w14:solidFill>
          </w14:textFill>
        </w:rPr>
        <w:t>20</w:t>
      </w:r>
      <w:r>
        <w:rPr>
          <w:rFonts w:hint="eastAsia" w:ascii="微软雅黑" w:hAnsi="微软雅黑" w:eastAsia="微软雅黑" w:cstheme="minorEastAsia"/>
          <w:b/>
          <w:bCs/>
          <w:color w:val="000000" w:themeColor="text1"/>
          <w:sz w:val="28"/>
          <w:szCs w:val="28"/>
          <w14:textFill>
            <w14:solidFill>
              <w14:schemeClr w14:val="tx1"/>
            </w14:solidFill>
          </w14:textFill>
        </w:rPr>
        <w:t>·</w:t>
      </w:r>
      <w:r>
        <w:rPr>
          <w:rFonts w:ascii="微软雅黑" w:hAnsi="微软雅黑" w:eastAsia="微软雅黑" w:cstheme="minorEastAsia"/>
          <w:b/>
          <w:bCs/>
          <w:color w:val="000000" w:themeColor="text1"/>
          <w:sz w:val="28"/>
          <w:szCs w:val="28"/>
          <w14:textFill>
            <w14:solidFill>
              <w14:schemeClr w14:val="tx1"/>
            </w14:solidFill>
          </w14:textFill>
        </w:rPr>
        <w:t>CCBD</w:t>
      </w:r>
      <w:r>
        <w:rPr>
          <w:rFonts w:hint="eastAsia" w:ascii="微软雅黑" w:hAnsi="微软雅黑" w:eastAsia="微软雅黑" w:cstheme="minorEastAsia"/>
          <w:b/>
          <w:bCs/>
          <w:color w:val="000000" w:themeColor="text1"/>
          <w:sz w:val="28"/>
          <w:szCs w:val="28"/>
          <w14:textFill>
            <w14:solidFill>
              <w14:schemeClr w14:val="tx1"/>
            </w14:solidFill>
          </w14:textFill>
        </w:rPr>
        <w:t>参展费用</w:t>
      </w:r>
    </w:p>
    <w:p>
      <w:pPr>
        <w:snapToGrid w:val="0"/>
        <w:rPr>
          <w:rFonts w:ascii="微软雅黑" w:hAnsi="微软雅黑" w:eastAsia="微软雅黑" w:cstheme="minorEastAsia"/>
          <w:color w:val="000000" w:themeColor="text1"/>
          <w:sz w:val="24"/>
          <w:szCs w:val="24"/>
          <w14:textFill>
            <w14:solidFill>
              <w14:schemeClr w14:val="tx1"/>
            </w14:solidFill>
          </w14:textFill>
        </w:rPr>
      </w:pPr>
      <w:r>
        <w:rPr>
          <w:rFonts w:hint="eastAsia" w:ascii="微软雅黑" w:hAnsi="微软雅黑" w:eastAsia="微软雅黑" w:cstheme="minorEastAsia"/>
          <w:b/>
          <w:color w:val="000000" w:themeColor="text1"/>
          <w:sz w:val="24"/>
          <w:szCs w:val="24"/>
          <w14:textFill>
            <w14:solidFill>
              <w14:schemeClr w14:val="tx1"/>
            </w14:solidFill>
          </w14:textFill>
        </w:rPr>
        <w:t>展位价格</w:t>
      </w:r>
    </w:p>
    <w:tbl>
      <w:tblPr>
        <w:tblStyle w:val="6"/>
        <w:tblW w:w="989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1"/>
        <w:gridCol w:w="1843"/>
        <w:gridCol w:w="6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trPr>
        <w:tc>
          <w:tcPr>
            <w:tcW w:w="1701" w:type="dxa"/>
            <w:vAlign w:val="center"/>
          </w:tcPr>
          <w:p>
            <w:pPr>
              <w:jc w:val="center"/>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展位类别</w:t>
            </w:r>
          </w:p>
        </w:tc>
        <w:tc>
          <w:tcPr>
            <w:tcW w:w="1843" w:type="dxa"/>
            <w:vAlign w:val="center"/>
          </w:tcPr>
          <w:p>
            <w:pPr>
              <w:jc w:val="center"/>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价格（元）</w:t>
            </w:r>
          </w:p>
        </w:tc>
        <w:tc>
          <w:tcPr>
            <w:tcW w:w="6350" w:type="dxa"/>
            <w:vAlign w:val="center"/>
          </w:tcPr>
          <w:p>
            <w:pPr>
              <w:jc w:val="center"/>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展位配置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1701" w:type="dxa"/>
            <w:vAlign w:val="center"/>
          </w:tcPr>
          <w:p>
            <w:pPr>
              <w:jc w:val="center"/>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9m</w:t>
            </w:r>
            <w:r>
              <w:rPr>
                <w:rFonts w:hint="eastAsia" w:ascii="微软雅黑" w:hAnsi="微软雅黑" w:eastAsia="微软雅黑" w:cstheme="minorEastAsia"/>
                <w:bCs/>
                <w:color w:val="000000" w:themeColor="text1"/>
                <w:sz w:val="24"/>
                <w:szCs w:val="24"/>
                <w:vertAlign w:val="superscript"/>
                <w14:textFill>
                  <w14:solidFill>
                    <w14:schemeClr w14:val="tx1"/>
                  </w14:solidFill>
                </w14:textFill>
              </w:rPr>
              <w:t>2</w:t>
            </w:r>
            <w:r>
              <w:rPr>
                <w:rFonts w:hint="eastAsia" w:ascii="微软雅黑" w:hAnsi="微软雅黑" w:eastAsia="微软雅黑" w:cstheme="minorEastAsia"/>
                <w:bCs/>
                <w:color w:val="000000" w:themeColor="text1"/>
                <w:sz w:val="24"/>
                <w:szCs w:val="24"/>
                <w14:textFill>
                  <w14:solidFill>
                    <w14:schemeClr w14:val="tx1"/>
                  </w14:solidFill>
                </w14:textFill>
              </w:rPr>
              <w:t>标准展位</w:t>
            </w:r>
          </w:p>
        </w:tc>
        <w:tc>
          <w:tcPr>
            <w:tcW w:w="1843" w:type="dxa"/>
            <w:vAlign w:val="center"/>
          </w:tcPr>
          <w:p>
            <w:pPr>
              <w:jc w:val="center"/>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9000元/个</w:t>
            </w:r>
          </w:p>
        </w:tc>
        <w:tc>
          <w:tcPr>
            <w:tcW w:w="6350" w:type="dxa"/>
            <w:vAlign w:val="center"/>
          </w:tcPr>
          <w:p>
            <w:pPr>
              <w:rPr>
                <w:rFonts w:ascii="微软雅黑" w:hAnsi="微软雅黑" w:eastAsia="微软雅黑" w:cstheme="minorEastAsia"/>
                <w:color w:val="000000" w:themeColor="text1"/>
                <w:sz w:val="24"/>
                <w:szCs w:val="24"/>
                <w14:textFill>
                  <w14:solidFill>
                    <w14:schemeClr w14:val="tx1"/>
                  </w14:solidFill>
                </w14:textFill>
              </w:rPr>
            </w:pPr>
            <w:r>
              <w:rPr>
                <w:rFonts w:hint="eastAsia" w:ascii="微软雅黑" w:hAnsi="微软雅黑" w:eastAsia="微软雅黑" w:cstheme="minorEastAsia"/>
                <w:color w:val="000000" w:themeColor="text1"/>
                <w:sz w:val="24"/>
                <w:szCs w:val="24"/>
                <w14:textFill>
                  <w14:solidFill>
                    <w14:schemeClr w14:val="tx1"/>
                  </w14:solidFill>
                </w14:textFill>
              </w:rPr>
              <w:t>一桌两椅、两条楣板、两面展板（单开口展位三面）、二只射灯、(220V/500W)电源插座。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trPr>
        <w:tc>
          <w:tcPr>
            <w:tcW w:w="1701" w:type="dxa"/>
            <w:vAlign w:val="center"/>
          </w:tcPr>
          <w:p>
            <w:pPr>
              <w:jc w:val="center"/>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空地展位</w:t>
            </w:r>
          </w:p>
        </w:tc>
        <w:tc>
          <w:tcPr>
            <w:tcW w:w="1843" w:type="dxa"/>
            <w:vAlign w:val="center"/>
          </w:tcPr>
          <w:p>
            <w:pPr>
              <w:jc w:val="center"/>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900元/㎡</w:t>
            </w:r>
          </w:p>
        </w:tc>
        <w:tc>
          <w:tcPr>
            <w:tcW w:w="6350" w:type="dxa"/>
            <w:vAlign w:val="center"/>
          </w:tcPr>
          <w:p>
            <w:pPr>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无任何设施，需自行缴付特装管理费和用电费（36平米起租）。</w:t>
            </w:r>
          </w:p>
        </w:tc>
      </w:tr>
    </w:tbl>
    <w:p>
      <w:pPr>
        <w:widowControl/>
        <w:spacing w:before="156" w:beforeLines="50" w:after="156" w:afterLines="50"/>
        <w:jc w:val="right"/>
        <w:rPr>
          <w:rFonts w:ascii="微软雅黑" w:hAnsi="微软雅黑" w:eastAsia="微软雅黑" w:cstheme="minorEastAsia"/>
          <w:b/>
          <w:color w:val="000000" w:themeColor="text1"/>
          <w:sz w:val="24"/>
          <w:szCs w:val="24"/>
          <w14:textFill>
            <w14:solidFill>
              <w14:schemeClr w14:val="tx1"/>
            </w14:solidFill>
          </w14:textFill>
        </w:rPr>
      </w:pPr>
      <w:r>
        <w:rPr>
          <w:rFonts w:hint="eastAsia" w:ascii="微软雅黑" w:hAnsi="微软雅黑" w:eastAsia="微软雅黑" w:cstheme="minorEastAsia"/>
          <w:b/>
          <w:bCs/>
          <w:color w:val="000000" w:themeColor="text1"/>
          <w:sz w:val="18"/>
          <w:szCs w:val="18"/>
          <w:shd w:val="clear" w:color="auto" w:fill="FFFFFF"/>
          <w14:textFill>
            <w14:solidFill>
              <w14:schemeClr w14:val="tx1"/>
            </w14:solidFill>
          </w14:textFill>
        </w:rPr>
        <w:t>注：其它广告位及价格</w:t>
      </w:r>
      <w:bookmarkStart w:id="11" w:name="_Hlk489027958"/>
      <w:r>
        <w:rPr>
          <w:rFonts w:hint="eastAsia" w:ascii="微软雅黑" w:hAnsi="微软雅黑" w:eastAsia="微软雅黑" w:cstheme="minorEastAsia"/>
          <w:b/>
          <w:bCs/>
          <w:color w:val="000000" w:themeColor="text1"/>
          <w:sz w:val="18"/>
          <w:szCs w:val="18"/>
          <w:shd w:val="clear" w:color="auto" w:fill="FFFFFF"/>
          <w14:textFill>
            <w14:solidFill>
              <w14:schemeClr w14:val="tx1"/>
            </w14:solidFill>
          </w14:textFill>
        </w:rPr>
        <w:t>资料另索</w:t>
      </w:r>
      <w:bookmarkEnd w:id="11"/>
    </w:p>
    <w:p>
      <w:pPr>
        <w:rPr>
          <w:rFonts w:ascii="微软雅黑" w:hAnsi="微软雅黑" w:eastAsia="微软雅黑" w:cstheme="minorEastAsia"/>
          <w:b/>
          <w:bCs/>
          <w:color w:val="000000" w:themeColor="text1"/>
          <w:sz w:val="28"/>
          <w:szCs w:val="28"/>
          <w14:textFill>
            <w14:solidFill>
              <w14:schemeClr w14:val="tx1"/>
            </w14:solidFill>
          </w14:textFill>
        </w:rPr>
      </w:pPr>
      <w:bookmarkStart w:id="12" w:name="OLE_LINK17"/>
      <w:r>
        <w:rPr>
          <w:rFonts w:hint="eastAsia" w:ascii="微软雅黑" w:hAnsi="微软雅黑" w:eastAsia="微软雅黑" w:cstheme="minorEastAsia"/>
          <w:b/>
          <w:bCs/>
          <w:color w:val="000000" w:themeColor="text1"/>
          <w:sz w:val="28"/>
          <w:szCs w:val="28"/>
          <w14:textFill>
            <w14:solidFill>
              <w14:schemeClr w14:val="tx1"/>
            </w14:solidFill>
          </w14:textFill>
        </w:rPr>
        <w:t>为何参展</w:t>
      </w:r>
    </w:p>
    <w:p>
      <w:pPr>
        <w:pStyle w:val="18"/>
        <w:numPr>
          <w:ilvl w:val="0"/>
          <w:numId w:val="1"/>
        </w:numPr>
        <w:snapToGrid w:val="0"/>
        <w:ind w:firstLineChars="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1</w:t>
      </w:r>
      <w:r>
        <w:rPr>
          <w:rFonts w:ascii="微软雅黑" w:hAnsi="微软雅黑" w:eastAsia="微软雅黑" w:cstheme="minorEastAsia"/>
          <w:bCs/>
          <w:color w:val="000000" w:themeColor="text1"/>
          <w:sz w:val="24"/>
          <w:szCs w:val="24"/>
          <w14:textFill>
            <w14:solidFill>
              <w14:schemeClr w14:val="tx1"/>
            </w14:solidFill>
          </w14:textFill>
        </w:rPr>
        <w:t>9</w:t>
      </w:r>
      <w:r>
        <w:rPr>
          <w:rFonts w:hint="eastAsia" w:ascii="微软雅黑" w:hAnsi="微软雅黑" w:eastAsia="微软雅黑" w:cstheme="minorEastAsia"/>
          <w:bCs/>
          <w:color w:val="000000" w:themeColor="text1"/>
          <w:sz w:val="24"/>
          <w:szCs w:val="24"/>
          <w14:textFill>
            <w14:solidFill>
              <w14:schemeClr w14:val="tx1"/>
            </w14:solidFill>
          </w14:textFill>
        </w:rPr>
        <w:t>届的积累，</w:t>
      </w:r>
      <w:r>
        <w:rPr>
          <w:rFonts w:ascii="微软雅黑" w:hAnsi="微软雅黑" w:eastAsia="微软雅黑" w:cstheme="minorEastAsia"/>
          <w:bCs/>
          <w:color w:val="000000" w:themeColor="text1"/>
          <w:sz w:val="24"/>
          <w:szCs w:val="24"/>
          <w14:textFill>
            <w14:solidFill>
              <w14:schemeClr w14:val="tx1"/>
            </w14:solidFill>
          </w14:textFill>
        </w:rPr>
        <w:t>15,0000平米展出面积</w:t>
      </w:r>
      <w:r>
        <w:rPr>
          <w:rFonts w:hint="eastAsia" w:ascii="微软雅黑" w:hAnsi="微软雅黑" w:eastAsia="微软雅黑" w:cstheme="minorEastAsia"/>
          <w:bCs/>
          <w:color w:val="000000" w:themeColor="text1"/>
          <w:sz w:val="24"/>
          <w:szCs w:val="24"/>
          <w14:textFill>
            <w14:solidFill>
              <w14:schemeClr w14:val="tx1"/>
            </w14:solidFill>
          </w14:textFill>
        </w:rPr>
        <w:t>中西部规模最大、展品最全、新品最多的大家居建装行业</w:t>
      </w:r>
      <w:r>
        <w:rPr>
          <w:rFonts w:ascii="微软雅黑" w:hAnsi="微软雅黑" w:eastAsia="微软雅黑" w:cstheme="minorEastAsia"/>
          <w:bCs/>
          <w:color w:val="000000" w:themeColor="text1"/>
          <w:sz w:val="24"/>
          <w:szCs w:val="24"/>
          <w14:textFill>
            <w14:solidFill>
              <w14:schemeClr w14:val="tx1"/>
            </w14:solidFill>
          </w14:textFill>
        </w:rPr>
        <w:t>B2B</w:t>
      </w:r>
      <w:r>
        <w:rPr>
          <w:rFonts w:hint="eastAsia" w:ascii="微软雅黑" w:hAnsi="微软雅黑" w:eastAsia="微软雅黑" w:cstheme="minorEastAsia"/>
          <w:bCs/>
          <w:color w:val="000000" w:themeColor="text1"/>
          <w:sz w:val="24"/>
          <w:szCs w:val="24"/>
          <w14:textFill>
            <w14:solidFill>
              <w14:schemeClr w14:val="tx1"/>
            </w14:solidFill>
          </w14:textFill>
        </w:rPr>
        <w:t>商贸展。</w:t>
      </w:r>
    </w:p>
    <w:p>
      <w:pPr>
        <w:pStyle w:val="18"/>
        <w:numPr>
          <w:ilvl w:val="0"/>
          <w:numId w:val="1"/>
        </w:numPr>
        <w:snapToGrid w:val="0"/>
        <w:ind w:firstLineChars="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权威机构支持，携手</w:t>
      </w:r>
      <w:r>
        <w:rPr>
          <w:rFonts w:ascii="微软雅黑" w:hAnsi="微软雅黑" w:eastAsia="微软雅黑" w:cstheme="minorEastAsia"/>
          <w:bCs/>
          <w:color w:val="000000" w:themeColor="text1"/>
          <w:sz w:val="24"/>
          <w:szCs w:val="24"/>
          <w14:textFill>
            <w14:solidFill>
              <w14:schemeClr w14:val="tx1"/>
            </w14:solidFill>
          </w14:textFill>
        </w:rPr>
        <w:t>80</w:t>
      </w:r>
      <w:r>
        <w:rPr>
          <w:rFonts w:hint="eastAsia" w:ascii="微软雅黑" w:hAnsi="微软雅黑" w:eastAsia="微软雅黑" w:cstheme="minorEastAsia"/>
          <w:bCs/>
          <w:color w:val="000000" w:themeColor="text1"/>
          <w:sz w:val="24"/>
          <w:szCs w:val="24"/>
          <w14:textFill>
            <w14:solidFill>
              <w14:schemeClr w14:val="tx1"/>
            </w14:solidFill>
          </w14:textFill>
        </w:rPr>
        <w:t>+家大家居建装行业协会与合作伙伴。</w:t>
      </w:r>
    </w:p>
    <w:p>
      <w:pPr>
        <w:pStyle w:val="18"/>
        <w:numPr>
          <w:ilvl w:val="0"/>
          <w:numId w:val="1"/>
        </w:numPr>
        <w:snapToGrid w:val="0"/>
        <w:ind w:firstLineChars="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专业观众全面覆盖，汇聚中西部地区大家居行业生产厂家及经销代理商、房产开发商、装饰公司、设计院所、工程公司酒店大宗采购商、精装房工程商、建材市场、连锁卖场、电商平台等优质采购合作商。</w:t>
      </w:r>
    </w:p>
    <w:p>
      <w:pPr>
        <w:pStyle w:val="18"/>
        <w:numPr>
          <w:ilvl w:val="0"/>
          <w:numId w:val="1"/>
        </w:numPr>
        <w:snapToGrid w:val="0"/>
        <w:ind w:firstLineChars="0"/>
        <w:rPr>
          <w:rFonts w:ascii="微软雅黑" w:hAnsi="微软雅黑" w:eastAsia="微软雅黑" w:cstheme="minorEastAsia"/>
          <w:bCs/>
          <w:color w:val="000000" w:themeColor="text1"/>
          <w:sz w:val="24"/>
          <w:szCs w:val="24"/>
          <w14:textFill>
            <w14:solidFill>
              <w14:schemeClr w14:val="tx1"/>
            </w14:solidFill>
          </w14:textFill>
        </w:rPr>
      </w:pPr>
      <w:r>
        <w:rPr>
          <w:rFonts w:ascii="微软雅黑" w:hAnsi="微软雅黑" w:eastAsia="微软雅黑" w:cstheme="minorEastAsia"/>
          <w:bCs/>
          <w:color w:val="000000" w:themeColor="text1"/>
          <w:sz w:val="24"/>
          <w:szCs w:val="24"/>
          <w14:textFill>
            <w14:solidFill>
              <w14:schemeClr w14:val="tx1"/>
            </w14:solidFill>
          </w14:textFill>
        </w:rPr>
        <w:t>1600+</w:t>
      </w:r>
      <w:r>
        <w:rPr>
          <w:rFonts w:hint="eastAsia" w:ascii="微软雅黑" w:hAnsi="微软雅黑" w:eastAsia="微软雅黑" w:cstheme="minorEastAsia"/>
          <w:bCs/>
          <w:color w:val="000000" w:themeColor="text1"/>
          <w:sz w:val="24"/>
          <w:szCs w:val="24"/>
          <w14:textFill>
            <w14:solidFill>
              <w14:schemeClr w14:val="tx1"/>
            </w14:solidFill>
          </w14:textFill>
        </w:rPr>
        <w:t>家展商分馆分区，汇聚创新性技术、高端品牌企业，助您全方位收集市场和产品信息。</w:t>
      </w:r>
    </w:p>
    <w:p>
      <w:pPr>
        <w:pStyle w:val="18"/>
        <w:numPr>
          <w:ilvl w:val="0"/>
          <w:numId w:val="1"/>
        </w:numPr>
        <w:snapToGrid w:val="0"/>
        <w:ind w:firstLineChars="0"/>
        <w:rPr>
          <w:rFonts w:ascii="微软雅黑" w:hAnsi="微软雅黑" w:eastAsia="微软雅黑" w:cstheme="minorEastAsia"/>
          <w:bCs/>
          <w:color w:val="000000" w:themeColor="text1"/>
          <w:sz w:val="24"/>
          <w:szCs w:val="24"/>
          <w14:textFill>
            <w14:solidFill>
              <w14:schemeClr w14:val="tx1"/>
            </w14:solidFill>
          </w14:textFill>
        </w:rPr>
      </w:pPr>
      <w:r>
        <w:rPr>
          <w:rFonts w:ascii="微软雅黑" w:hAnsi="微软雅黑" w:eastAsia="微软雅黑" w:cstheme="minorEastAsia"/>
          <w:bCs/>
          <w:color w:val="000000" w:themeColor="text1"/>
          <w:sz w:val="24"/>
          <w:szCs w:val="24"/>
          <w14:textFill>
            <w14:solidFill>
              <w14:schemeClr w14:val="tx1"/>
            </w14:solidFill>
          </w14:textFill>
        </w:rPr>
        <w:t>20+</w:t>
      </w:r>
      <w:r>
        <w:rPr>
          <w:rFonts w:hint="eastAsia" w:ascii="微软雅黑" w:hAnsi="微软雅黑" w:eastAsia="微软雅黑" w:cstheme="minorEastAsia"/>
          <w:bCs/>
          <w:color w:val="000000" w:themeColor="text1"/>
          <w:sz w:val="24"/>
          <w:szCs w:val="24"/>
          <w14:textFill>
            <w14:solidFill>
              <w14:schemeClr w14:val="tx1"/>
            </w14:solidFill>
          </w14:textFill>
        </w:rPr>
        <w:t>场高峰论坛汇聚</w:t>
      </w:r>
      <w:r>
        <w:rPr>
          <w:rFonts w:ascii="微软雅黑" w:hAnsi="微软雅黑" w:eastAsia="微软雅黑" w:cstheme="minorEastAsia"/>
          <w:bCs/>
          <w:color w:val="000000" w:themeColor="text1"/>
          <w:sz w:val="24"/>
          <w:szCs w:val="24"/>
          <w14:textFill>
            <w14:solidFill>
              <w14:schemeClr w14:val="tx1"/>
            </w14:solidFill>
          </w14:textFill>
        </w:rPr>
        <w:t>行业前沿资讯</w:t>
      </w:r>
      <w:r>
        <w:rPr>
          <w:rFonts w:hint="eastAsia" w:ascii="微软雅黑" w:hAnsi="微软雅黑" w:eastAsia="微软雅黑" w:cstheme="minorEastAsia"/>
          <w:bCs/>
          <w:color w:val="000000" w:themeColor="text1"/>
          <w:sz w:val="24"/>
          <w:szCs w:val="24"/>
          <w14:textFill>
            <w14:solidFill>
              <w14:schemeClr w14:val="tx1"/>
            </w14:solidFill>
          </w14:textFill>
        </w:rPr>
        <w:t>、超前设计</w:t>
      </w:r>
      <w:r>
        <w:rPr>
          <w:rFonts w:ascii="微软雅黑" w:hAnsi="微软雅黑" w:eastAsia="微软雅黑" w:cstheme="minorEastAsia"/>
          <w:bCs/>
          <w:color w:val="000000" w:themeColor="text1"/>
          <w:sz w:val="24"/>
          <w:szCs w:val="24"/>
          <w14:textFill>
            <w14:solidFill>
              <w14:schemeClr w14:val="tx1"/>
            </w14:solidFill>
          </w14:textFill>
        </w:rPr>
        <w:t>理念、</w:t>
      </w:r>
      <w:r>
        <w:rPr>
          <w:rFonts w:hint="eastAsia" w:ascii="微软雅黑" w:hAnsi="微软雅黑" w:eastAsia="微软雅黑" w:cstheme="minorEastAsia"/>
          <w:bCs/>
          <w:color w:val="000000" w:themeColor="text1"/>
          <w:sz w:val="24"/>
          <w:szCs w:val="24"/>
          <w14:textFill>
            <w14:solidFill>
              <w14:schemeClr w14:val="tx1"/>
            </w14:solidFill>
          </w14:textFill>
        </w:rPr>
        <w:t>品牌新品发布的</w:t>
      </w:r>
      <w:r>
        <w:rPr>
          <w:rFonts w:ascii="微软雅黑" w:hAnsi="微软雅黑" w:eastAsia="微软雅黑" w:cstheme="minorEastAsia"/>
          <w:bCs/>
          <w:color w:val="000000" w:themeColor="text1"/>
          <w:sz w:val="24"/>
          <w:szCs w:val="24"/>
          <w14:textFill>
            <w14:solidFill>
              <w14:schemeClr w14:val="tx1"/>
            </w14:solidFill>
          </w14:textFill>
        </w:rPr>
        <w:t>饕餮盛宴。</w:t>
      </w:r>
    </w:p>
    <w:p>
      <w:pPr>
        <w:pStyle w:val="18"/>
        <w:numPr>
          <w:ilvl w:val="0"/>
          <w:numId w:val="1"/>
        </w:numPr>
        <w:snapToGrid w:val="0"/>
        <w:ind w:firstLineChars="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超强宣传渠道，线上线下全覆盖，</w:t>
      </w:r>
      <w:r>
        <w:rPr>
          <w:rFonts w:ascii="微软雅黑" w:hAnsi="微软雅黑" w:eastAsia="微软雅黑" w:cstheme="minorEastAsia"/>
          <w:bCs/>
          <w:color w:val="000000" w:themeColor="text1"/>
          <w:sz w:val="24"/>
          <w:szCs w:val="24"/>
          <w14:textFill>
            <w14:solidFill>
              <w14:schemeClr w14:val="tx1"/>
            </w14:solidFill>
          </w14:textFill>
        </w:rPr>
        <w:t>920+</w:t>
      </w:r>
      <w:r>
        <w:rPr>
          <w:rFonts w:hint="eastAsia" w:ascii="微软雅黑" w:hAnsi="微软雅黑" w:eastAsia="微软雅黑" w:cstheme="minorEastAsia"/>
          <w:bCs/>
          <w:color w:val="000000" w:themeColor="text1"/>
          <w:sz w:val="24"/>
          <w:szCs w:val="24"/>
          <w14:textFill>
            <w14:solidFill>
              <w14:schemeClr w14:val="tx1"/>
            </w14:solidFill>
          </w14:textFill>
        </w:rPr>
        <w:t>全媒体全方位报道，每年5</w:t>
      </w:r>
      <w:r>
        <w:rPr>
          <w:rFonts w:ascii="微软雅黑" w:hAnsi="微软雅黑" w:eastAsia="微软雅黑" w:cstheme="minorEastAsia"/>
          <w:bCs/>
          <w:color w:val="000000" w:themeColor="text1"/>
          <w:sz w:val="24"/>
          <w:szCs w:val="24"/>
          <w14:textFill>
            <w14:solidFill>
              <w14:schemeClr w14:val="tx1"/>
            </w14:solidFill>
          </w14:textFill>
        </w:rPr>
        <w:t>0</w:t>
      </w:r>
      <w:r>
        <w:rPr>
          <w:rFonts w:hint="eastAsia" w:ascii="微软雅黑" w:hAnsi="微软雅黑" w:eastAsia="微软雅黑" w:cstheme="minorEastAsia"/>
          <w:bCs/>
          <w:color w:val="000000" w:themeColor="text1"/>
          <w:sz w:val="24"/>
          <w:szCs w:val="24"/>
          <w14:textFill>
            <w14:solidFill>
              <w14:schemeClr w14:val="tx1"/>
            </w14:solidFill>
          </w14:textFill>
        </w:rPr>
        <w:t>余场同类展会全面覆盖推广。</w:t>
      </w:r>
    </w:p>
    <w:p>
      <w:pPr>
        <w:pStyle w:val="18"/>
        <w:numPr>
          <w:ilvl w:val="0"/>
          <w:numId w:val="1"/>
        </w:numPr>
        <w:snapToGrid w:val="0"/>
        <w:ind w:firstLineChars="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Informa</w:t>
      </w:r>
      <w:r>
        <w:rPr>
          <w:rFonts w:ascii="微软雅黑" w:hAnsi="微软雅黑" w:eastAsia="微软雅黑" w:cstheme="minorEastAsia"/>
          <w:bCs/>
          <w:color w:val="000000" w:themeColor="text1"/>
          <w:sz w:val="24"/>
          <w:szCs w:val="24"/>
          <w14:textFill>
            <w14:solidFill>
              <w14:schemeClr w14:val="tx1"/>
            </w14:solidFill>
          </w14:textFill>
        </w:rPr>
        <w:t xml:space="preserve"> </w:t>
      </w:r>
      <w:r>
        <w:rPr>
          <w:rFonts w:hint="eastAsia" w:ascii="微软雅黑" w:hAnsi="微软雅黑" w:eastAsia="微软雅黑" w:cstheme="minorEastAsia"/>
          <w:bCs/>
          <w:color w:val="000000" w:themeColor="text1"/>
          <w:sz w:val="24"/>
          <w:szCs w:val="24"/>
          <w14:textFill>
            <w14:solidFill>
              <w14:schemeClr w14:val="tx1"/>
            </w14:solidFill>
          </w14:textFill>
        </w:rPr>
        <w:t>markets国际展商资源及行业活动的引入，推动成都建博会国际化、品牌化、专业化发展步伐。</w:t>
      </w:r>
    </w:p>
    <w:bookmarkEnd w:id="12"/>
    <w:p>
      <w:pPr>
        <w:widowControl/>
        <w:spacing w:before="156" w:beforeLines="50" w:after="156" w:afterLines="50" w:line="360" w:lineRule="auto"/>
        <w:jc w:val="left"/>
        <w:rPr>
          <w:rFonts w:ascii="微软雅黑" w:hAnsi="微软雅黑" w:eastAsia="微软雅黑" w:cstheme="minorEastAsia"/>
          <w:b/>
          <w:color w:val="000000" w:themeColor="text1"/>
          <w:sz w:val="24"/>
          <w:szCs w:val="24"/>
          <w14:textFill>
            <w14:solidFill>
              <w14:schemeClr w14:val="tx1"/>
            </w14:solidFill>
          </w14:textFill>
        </w:rPr>
      </w:pPr>
      <w:r>
        <w:rPr>
          <w:rFonts w:hint="eastAsia" w:ascii="微软雅黑" w:hAnsi="微软雅黑" w:eastAsia="微软雅黑" w:cstheme="minorEastAsia"/>
          <w:b/>
          <w:color w:val="000000" w:themeColor="text1"/>
          <w:sz w:val="24"/>
          <w:szCs w:val="24"/>
          <w14:textFill>
            <w14:solidFill>
              <w14:schemeClr w14:val="tx1"/>
            </w14:solidFill>
          </w14:textFill>
        </w:rPr>
        <w:t>广阔的市场前景</w:t>
      </w:r>
    </w:p>
    <w:p>
      <w:pPr>
        <w:pStyle w:val="18"/>
        <w:numPr>
          <w:ilvl w:val="0"/>
          <w:numId w:val="1"/>
        </w:numPr>
        <w:snapToGrid w:val="0"/>
        <w:ind w:firstLineChars="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西部地区辖陕西、四川、云南、贵州、广西、甘肃、青海、宁夏、西藏、新疆、内蒙古、重庆等十二个省、自治区和直辖市。土地面积681万平方公里，占全国总面积的71%；人口约3.5亿，占全国总人口的28%。西部地区疆域辽阔，大部分地区是我国经济欠发达、需要加强开发的地区。</w:t>
      </w:r>
    </w:p>
    <w:p>
      <w:pPr>
        <w:pStyle w:val="18"/>
        <w:numPr>
          <w:ilvl w:val="0"/>
          <w:numId w:val="1"/>
        </w:numPr>
        <w:snapToGrid w:val="0"/>
        <w:ind w:firstLineChars="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经济地位：四川2</w:t>
      </w:r>
      <w:r>
        <w:rPr>
          <w:rFonts w:ascii="微软雅黑" w:hAnsi="微软雅黑" w:eastAsia="微软雅黑" w:cstheme="minorEastAsia"/>
          <w:bCs/>
          <w:color w:val="000000" w:themeColor="text1"/>
          <w:sz w:val="24"/>
          <w:szCs w:val="24"/>
          <w14:textFill>
            <w14:solidFill>
              <w14:schemeClr w14:val="tx1"/>
            </w14:solidFill>
          </w14:textFill>
        </w:rPr>
        <w:t>018</w:t>
      </w:r>
      <w:r>
        <w:rPr>
          <w:rFonts w:hint="eastAsia" w:ascii="微软雅黑" w:hAnsi="微软雅黑" w:eastAsia="微软雅黑" w:cstheme="minorEastAsia"/>
          <w:bCs/>
          <w:color w:val="000000" w:themeColor="text1"/>
          <w:sz w:val="24"/>
          <w:szCs w:val="24"/>
          <w14:textFill>
            <w14:solidFill>
              <w14:schemeClr w14:val="tx1"/>
            </w14:solidFill>
          </w14:textFill>
        </w:rPr>
        <w:t>年GDP同比增长8%，经济总量突破</w:t>
      </w:r>
      <w:r>
        <w:rPr>
          <w:rFonts w:ascii="微软雅黑" w:hAnsi="微软雅黑" w:eastAsia="微软雅黑" w:cstheme="minorEastAsia"/>
          <w:bCs/>
          <w:color w:val="000000" w:themeColor="text1"/>
          <w:sz w:val="24"/>
          <w:szCs w:val="24"/>
          <w14:textFill>
            <w14:solidFill>
              <w14:schemeClr w14:val="tx1"/>
            </w14:solidFill>
          </w14:textFill>
        </w:rPr>
        <w:t>4</w:t>
      </w:r>
      <w:r>
        <w:rPr>
          <w:rFonts w:hint="eastAsia" w:ascii="微软雅黑" w:hAnsi="微软雅黑" w:eastAsia="微软雅黑" w:cstheme="minorEastAsia"/>
          <w:bCs/>
          <w:color w:val="000000" w:themeColor="text1"/>
          <w:sz w:val="24"/>
          <w:szCs w:val="24"/>
          <w14:textFill>
            <w14:solidFill>
              <w14:schemeClr w14:val="tx1"/>
            </w14:solidFill>
          </w14:textFill>
        </w:rPr>
        <w:t>万亿元，西部经济大省的地位更加突出。成都作为四川省会城市也为自己正打造的中西部综合交通枢纽提出系列规划。成都要借“一带一路”战略和长江经济带建设，将区位上的“内陆”转变为开放的“门户”，打造“向西向南”开放门户，是国务院确定的西南地区科技、商贸、金融中心和交通、通讯枢纽。</w:t>
      </w:r>
    </w:p>
    <w:p>
      <w:pPr>
        <w:pStyle w:val="18"/>
        <w:numPr>
          <w:ilvl w:val="0"/>
          <w:numId w:val="1"/>
        </w:numPr>
        <w:snapToGrid w:val="0"/>
        <w:ind w:firstLineChars="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交通环境：成都双流国际机场客货成为中西部唯一,年出入境流量突破500万人次的航空口岸。中欧班列开行数量突破1000列。随着成渝高铁、西成专线、渝贵铁路的开通，成都到西安、贵阳时间缩至3.5小时，到昆明缩至6.5小时。</w:t>
      </w:r>
    </w:p>
    <w:p>
      <w:pPr>
        <w:pStyle w:val="18"/>
        <w:numPr>
          <w:ilvl w:val="0"/>
          <w:numId w:val="1"/>
        </w:numPr>
        <w:snapToGrid w:val="0"/>
        <w:ind w:firstLineChars="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成都规划建设项目：天府新区建设、天府国际机场、国际空港新城建设、自贸试验区建设、北改推进、旧城改造、公园城市、地铁建设、城乡建设等。</w:t>
      </w:r>
    </w:p>
    <w:p>
      <w:pPr>
        <w:pStyle w:val="18"/>
        <w:numPr>
          <w:ilvl w:val="0"/>
          <w:numId w:val="1"/>
        </w:numPr>
        <w:snapToGrid w:val="0"/>
        <w:ind w:firstLineChars="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行业发展：大家居时代、全屋整装、系统门窗、暖通舒适家居、智能家居及卫浴、灯饰照明、建筑材料、装配式建筑及园林等。</w:t>
      </w:r>
    </w:p>
    <w:p>
      <w:pPr>
        <w:pStyle w:val="18"/>
        <w:numPr>
          <w:ilvl w:val="0"/>
          <w:numId w:val="1"/>
        </w:numPr>
        <w:snapToGrid w:val="0"/>
        <w:ind w:firstLineChars="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城市品牌：成都塑造“三城三都”城市品牌,提升城市文化沟通能力和全球传播能力。三城：世界文化名城、世界旅游名城、世界赛事名城；三都：国际美食之都、国际音乐之都、国际会展之都。</w:t>
      </w:r>
    </w:p>
    <w:p>
      <w:pPr>
        <w:rPr>
          <w:rFonts w:ascii="微软雅黑" w:hAnsi="微软雅黑" w:eastAsia="微软雅黑" w:cstheme="minorEastAsia"/>
          <w:b/>
          <w:bCs/>
          <w:color w:val="000000" w:themeColor="text1"/>
          <w:sz w:val="28"/>
          <w:szCs w:val="28"/>
          <w14:textFill>
            <w14:solidFill>
              <w14:schemeClr w14:val="tx1"/>
            </w14:solidFill>
          </w14:textFill>
        </w:rPr>
      </w:pPr>
      <w:r>
        <w:rPr>
          <w:rFonts w:hint="eastAsia" w:ascii="微软雅黑" w:hAnsi="微软雅黑" w:eastAsia="微软雅黑" w:cstheme="minorEastAsia"/>
          <w:b/>
          <w:bCs/>
          <w:color w:val="000000" w:themeColor="text1"/>
          <w:sz w:val="28"/>
          <w:szCs w:val="28"/>
          <w14:textFill>
            <w14:solidFill>
              <w14:schemeClr w14:val="tx1"/>
            </w14:solidFill>
          </w14:textFill>
        </w:rPr>
        <w:t>聚焦20</w:t>
      </w:r>
      <w:r>
        <w:rPr>
          <w:rFonts w:ascii="微软雅黑" w:hAnsi="微软雅黑" w:eastAsia="微软雅黑" w:cstheme="minorEastAsia"/>
          <w:b/>
          <w:bCs/>
          <w:color w:val="000000" w:themeColor="text1"/>
          <w:sz w:val="28"/>
          <w:szCs w:val="28"/>
          <w14:textFill>
            <w14:solidFill>
              <w14:schemeClr w14:val="tx1"/>
            </w14:solidFill>
          </w14:textFill>
        </w:rPr>
        <w:t>20</w:t>
      </w:r>
      <w:r>
        <w:rPr>
          <w:rFonts w:hint="eastAsia" w:ascii="微软雅黑" w:hAnsi="微软雅黑" w:eastAsia="微软雅黑" w:cstheme="minorEastAsia"/>
          <w:b/>
          <w:bCs/>
          <w:color w:val="000000" w:themeColor="text1"/>
          <w:sz w:val="28"/>
          <w:szCs w:val="28"/>
          <w14:textFill>
            <w14:solidFill>
              <w14:schemeClr w14:val="tx1"/>
            </w14:solidFill>
          </w14:textFill>
        </w:rPr>
        <w:t>·C</w:t>
      </w:r>
      <w:r>
        <w:rPr>
          <w:rFonts w:ascii="微软雅黑" w:hAnsi="微软雅黑" w:eastAsia="微软雅黑" w:cstheme="minorEastAsia"/>
          <w:b/>
          <w:bCs/>
          <w:color w:val="000000" w:themeColor="text1"/>
          <w:sz w:val="28"/>
          <w:szCs w:val="28"/>
          <w14:textFill>
            <w14:solidFill>
              <w14:schemeClr w14:val="tx1"/>
            </w14:solidFill>
          </w14:textFill>
        </w:rPr>
        <w:t>CBD</w:t>
      </w:r>
      <w:r>
        <w:rPr>
          <w:rFonts w:hint="eastAsia" w:ascii="微软雅黑" w:hAnsi="微软雅黑" w:eastAsia="微软雅黑" w:cstheme="minorEastAsia"/>
          <w:b/>
          <w:bCs/>
          <w:color w:val="000000" w:themeColor="text1"/>
          <w:sz w:val="28"/>
          <w:szCs w:val="28"/>
          <w14:textFill>
            <w14:solidFill>
              <w14:schemeClr w14:val="tx1"/>
            </w14:solidFill>
          </w14:textFill>
        </w:rPr>
        <w:t>展会优势</w:t>
      </w:r>
    </w:p>
    <w:p>
      <w:pPr>
        <w:widowControl/>
        <w:spacing w:line="360" w:lineRule="auto"/>
        <w:jc w:val="left"/>
        <w:rPr>
          <w:rFonts w:ascii="微软雅黑" w:hAnsi="微软雅黑" w:eastAsia="微软雅黑" w:cstheme="minorEastAsia"/>
          <w:b/>
          <w:color w:val="000000" w:themeColor="text1"/>
          <w:sz w:val="24"/>
          <w:szCs w:val="24"/>
          <w14:textFill>
            <w14:solidFill>
              <w14:schemeClr w14:val="tx1"/>
            </w14:solidFill>
          </w14:textFill>
        </w:rPr>
      </w:pPr>
      <w:bookmarkStart w:id="13" w:name="OLE_LINK4"/>
      <w:r>
        <w:rPr>
          <w:rFonts w:hint="eastAsia" w:ascii="微软雅黑" w:hAnsi="微软雅黑" w:eastAsia="微软雅黑" w:cstheme="minorEastAsia"/>
          <w:b/>
          <w:color w:val="000000" w:themeColor="text1"/>
          <w:sz w:val="24"/>
          <w:szCs w:val="24"/>
          <w14:textFill>
            <w14:solidFill>
              <w14:schemeClr w14:val="tx1"/>
            </w14:solidFill>
          </w14:textFill>
        </w:rPr>
        <w:t>专业团队精挑细选品质观众</w:t>
      </w:r>
    </w:p>
    <w:p>
      <w:pPr>
        <w:pStyle w:val="11"/>
        <w:numPr>
          <w:ilvl w:val="0"/>
          <w:numId w:val="2"/>
        </w:numPr>
        <w:snapToGrid w:val="0"/>
        <w:ind w:left="480" w:hanging="480" w:hangingChars="200"/>
        <w:rPr>
          <w:rFonts w:ascii="微软雅黑" w:hAnsi="微软雅黑" w:eastAsia="微软雅黑" w:cstheme="minorEastAsia"/>
          <w:b/>
          <w:bCs/>
          <w:color w:val="000000" w:themeColor="text1"/>
          <w:sz w:val="24"/>
          <w:szCs w:val="24"/>
          <w14:textFill>
            <w14:solidFill>
              <w14:schemeClr w14:val="tx1"/>
            </w14:solidFill>
          </w14:textFill>
        </w:rPr>
      </w:pPr>
      <w:r>
        <w:rPr>
          <w:rFonts w:hint="eastAsia" w:ascii="微软雅黑" w:hAnsi="微软雅黑" w:eastAsia="微软雅黑" w:cstheme="minorEastAsia"/>
          <w:b/>
          <w:bCs/>
          <w:color w:val="000000" w:themeColor="text1"/>
          <w:sz w:val="24"/>
          <w:szCs w:val="24"/>
          <w14:textFill>
            <w14:solidFill>
              <w14:schemeClr w14:val="tx1"/>
            </w14:solidFill>
          </w14:textFill>
        </w:rPr>
        <w:t>核心买家提升合作竞争力</w:t>
      </w:r>
    </w:p>
    <w:p>
      <w:pPr>
        <w:pStyle w:val="18"/>
        <w:snapToGrid w:val="0"/>
        <w:ind w:left="420" w:firstLine="0" w:firstLineChars="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2</w:t>
      </w:r>
      <w:r>
        <w:rPr>
          <w:rFonts w:ascii="微软雅黑" w:hAnsi="微软雅黑" w:eastAsia="微软雅黑" w:cstheme="minorEastAsia"/>
          <w:bCs/>
          <w:color w:val="000000" w:themeColor="text1"/>
          <w:sz w:val="24"/>
          <w:szCs w:val="24"/>
          <w14:textFill>
            <w14:solidFill>
              <w14:schemeClr w14:val="tx1"/>
            </w14:solidFill>
          </w14:textFill>
        </w:rPr>
        <w:t>019</w:t>
      </w:r>
      <w:r>
        <w:rPr>
          <w:rFonts w:hint="eastAsia" w:ascii="微软雅黑" w:hAnsi="微软雅黑" w:eastAsia="微软雅黑" w:cstheme="minorEastAsia"/>
          <w:bCs/>
          <w:color w:val="000000" w:themeColor="text1"/>
          <w:sz w:val="24"/>
          <w:szCs w:val="24"/>
          <w14:textFill>
            <w14:solidFill>
              <w14:schemeClr w14:val="tx1"/>
            </w14:solidFill>
          </w14:textFill>
        </w:rPr>
        <w:t>年第十九届成都建博会全新推出“C</w:t>
      </w:r>
      <w:r>
        <w:rPr>
          <w:rFonts w:ascii="微软雅黑" w:hAnsi="微软雅黑" w:eastAsia="微软雅黑" w:cstheme="minorEastAsia"/>
          <w:bCs/>
          <w:color w:val="000000" w:themeColor="text1"/>
          <w:sz w:val="24"/>
          <w:szCs w:val="24"/>
          <w14:textFill>
            <w14:solidFill>
              <w14:schemeClr w14:val="tx1"/>
            </w14:solidFill>
          </w14:textFill>
        </w:rPr>
        <w:t>CBD</w:t>
      </w:r>
      <w:r>
        <w:rPr>
          <w:rFonts w:hint="eastAsia" w:ascii="微软雅黑" w:hAnsi="微软雅黑" w:eastAsia="微软雅黑" w:cstheme="minorEastAsia"/>
          <w:bCs/>
          <w:color w:val="000000" w:themeColor="text1"/>
          <w:sz w:val="24"/>
          <w:szCs w:val="24"/>
          <w14:textFill>
            <w14:solidFill>
              <w14:schemeClr w14:val="tx1"/>
            </w14:solidFill>
          </w14:textFill>
        </w:rPr>
        <w:t>商贸配对会”，在获悉参展商的展出产品及推广需求后，针对川、渝、云、贵等省、市8000家有大宗采购需求优质买家，房产公司、装饰工程公司及经销代理商进行一对一邀请，展会现场与相应的参展商直接对接。</w:t>
      </w:r>
      <w:bookmarkStart w:id="14" w:name="OLE_LINK16"/>
      <w:bookmarkStart w:id="15" w:name="OLE_LINK15"/>
      <w:r>
        <w:rPr>
          <w:rFonts w:hint="eastAsia" w:ascii="微软雅黑" w:hAnsi="微软雅黑" w:eastAsia="微软雅黑" w:cstheme="minorEastAsia"/>
          <w:bCs/>
          <w:color w:val="000000" w:themeColor="text1"/>
          <w:sz w:val="24"/>
          <w:szCs w:val="24"/>
          <w14:textFill>
            <w14:solidFill>
              <w14:schemeClr w14:val="tx1"/>
            </w14:solidFill>
          </w14:textFill>
        </w:rPr>
        <w:t>2</w:t>
      </w:r>
      <w:r>
        <w:rPr>
          <w:rFonts w:ascii="微软雅黑" w:hAnsi="微软雅黑" w:eastAsia="微软雅黑" w:cstheme="minorEastAsia"/>
          <w:bCs/>
          <w:color w:val="000000" w:themeColor="text1"/>
          <w:sz w:val="24"/>
          <w:szCs w:val="24"/>
          <w14:textFill>
            <w14:solidFill>
              <w14:schemeClr w14:val="tx1"/>
            </w14:solidFill>
          </w14:textFill>
        </w:rPr>
        <w:t>020</w:t>
      </w:r>
      <w:r>
        <w:rPr>
          <w:rFonts w:hint="eastAsia" w:ascii="微软雅黑" w:hAnsi="微软雅黑" w:eastAsia="微软雅黑" w:cstheme="minorEastAsia"/>
          <w:bCs/>
          <w:color w:val="000000" w:themeColor="text1"/>
          <w:sz w:val="24"/>
          <w:szCs w:val="24"/>
          <w14:textFill>
            <w14:solidFill>
              <w14:schemeClr w14:val="tx1"/>
            </w14:solidFill>
          </w14:textFill>
        </w:rPr>
        <w:t>年第二十届成都建博会将在展会现场更全面更深度的推出“C</w:t>
      </w:r>
      <w:r>
        <w:rPr>
          <w:rFonts w:ascii="微软雅黑" w:hAnsi="微软雅黑" w:eastAsia="微软雅黑" w:cstheme="minorEastAsia"/>
          <w:bCs/>
          <w:color w:val="000000" w:themeColor="text1"/>
          <w:sz w:val="24"/>
          <w:szCs w:val="24"/>
          <w14:textFill>
            <w14:solidFill>
              <w14:schemeClr w14:val="tx1"/>
            </w14:solidFill>
          </w14:textFill>
        </w:rPr>
        <w:t>CBD</w:t>
      </w:r>
      <w:r>
        <w:rPr>
          <w:rFonts w:hint="eastAsia" w:ascii="微软雅黑" w:hAnsi="微软雅黑" w:eastAsia="微软雅黑" w:cstheme="minorEastAsia"/>
          <w:bCs/>
          <w:color w:val="000000" w:themeColor="text1"/>
          <w:sz w:val="24"/>
          <w:szCs w:val="24"/>
          <w14:textFill>
            <w14:solidFill>
              <w14:schemeClr w14:val="tx1"/>
            </w14:solidFill>
          </w14:textFill>
        </w:rPr>
        <w:t>商贸精准配对会”</w:t>
      </w:r>
      <w:bookmarkEnd w:id="14"/>
      <w:bookmarkEnd w:id="15"/>
      <w:r>
        <w:rPr>
          <w:rFonts w:hint="eastAsia" w:ascii="微软雅黑" w:hAnsi="微软雅黑" w:eastAsia="微软雅黑" w:cstheme="minorEastAsia"/>
          <w:bCs/>
          <w:color w:val="000000" w:themeColor="text1"/>
          <w:sz w:val="24"/>
          <w:szCs w:val="24"/>
          <w14:textFill>
            <w14:solidFill>
              <w14:schemeClr w14:val="tx1"/>
            </w14:solidFill>
          </w14:textFill>
        </w:rPr>
        <w:t>。</w:t>
      </w:r>
    </w:p>
    <w:p>
      <w:pPr>
        <w:pStyle w:val="11"/>
        <w:numPr>
          <w:ilvl w:val="0"/>
          <w:numId w:val="2"/>
        </w:numPr>
        <w:snapToGrid w:val="0"/>
        <w:ind w:left="480" w:hanging="480" w:hangingChars="200"/>
        <w:rPr>
          <w:rFonts w:ascii="微软雅黑" w:hAnsi="微软雅黑" w:eastAsia="微软雅黑" w:cstheme="minorEastAsia"/>
          <w:b/>
          <w:bCs/>
          <w:color w:val="000000" w:themeColor="text1"/>
          <w:sz w:val="24"/>
          <w:szCs w:val="24"/>
          <w14:textFill>
            <w14:solidFill>
              <w14:schemeClr w14:val="tx1"/>
            </w14:solidFill>
          </w14:textFill>
        </w:rPr>
      </w:pPr>
      <w:r>
        <w:rPr>
          <w:rFonts w:hint="eastAsia" w:ascii="微软雅黑" w:hAnsi="微软雅黑" w:eastAsia="微软雅黑" w:cstheme="minorEastAsia"/>
          <w:b/>
          <w:bCs/>
          <w:color w:val="000000" w:themeColor="text1"/>
          <w:sz w:val="24"/>
          <w:szCs w:val="24"/>
          <w14:textFill>
            <w14:solidFill>
              <w14:schemeClr w14:val="tx1"/>
            </w14:solidFill>
          </w14:textFill>
        </w:rPr>
        <w:t>呼叫中心提升观众到场率</w:t>
      </w:r>
    </w:p>
    <w:p>
      <w:pPr>
        <w:pStyle w:val="18"/>
        <w:snapToGrid w:val="0"/>
        <w:ind w:left="420" w:firstLine="0" w:firstLineChars="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拥有50余固定坐席的呼叫中心团队，将对</w:t>
      </w:r>
      <w:r>
        <w:rPr>
          <w:rFonts w:ascii="微软雅黑" w:hAnsi="微软雅黑" w:eastAsia="微软雅黑" w:cstheme="minorEastAsia"/>
          <w:bCs/>
          <w:color w:val="000000" w:themeColor="text1"/>
          <w:sz w:val="24"/>
          <w:szCs w:val="24"/>
          <w14:textFill>
            <w14:solidFill>
              <w14:schemeClr w14:val="tx1"/>
            </w14:solidFill>
          </w14:textFill>
        </w:rPr>
        <w:t>19</w:t>
      </w:r>
      <w:r>
        <w:rPr>
          <w:rFonts w:hint="eastAsia" w:ascii="微软雅黑" w:hAnsi="微软雅黑" w:eastAsia="微软雅黑" w:cstheme="minorEastAsia"/>
          <w:bCs/>
          <w:color w:val="000000" w:themeColor="text1"/>
          <w:sz w:val="24"/>
          <w:szCs w:val="24"/>
          <w14:textFill>
            <w14:solidFill>
              <w14:schemeClr w14:val="tx1"/>
            </w14:solidFill>
          </w14:textFill>
        </w:rPr>
        <w:t>年来积淀的</w:t>
      </w:r>
      <w:r>
        <w:rPr>
          <w:rFonts w:ascii="微软雅黑" w:hAnsi="微软雅黑" w:eastAsia="微软雅黑" w:cstheme="minorEastAsia"/>
          <w:bCs/>
          <w:color w:val="000000" w:themeColor="text1"/>
          <w:sz w:val="24"/>
          <w:szCs w:val="24"/>
          <w14:textFill>
            <w14:solidFill>
              <w14:schemeClr w14:val="tx1"/>
            </w14:solidFill>
          </w14:textFill>
        </w:rPr>
        <w:t>8</w:t>
      </w:r>
      <w:r>
        <w:rPr>
          <w:rFonts w:hint="eastAsia" w:ascii="微软雅黑" w:hAnsi="微软雅黑" w:eastAsia="微软雅黑" w:cstheme="minorEastAsia"/>
          <w:bCs/>
          <w:color w:val="000000" w:themeColor="text1"/>
          <w:sz w:val="24"/>
          <w:szCs w:val="24"/>
          <w14:textFill>
            <w14:solidFill>
              <w14:schemeClr w14:val="tx1"/>
            </w14:solidFill>
          </w14:textFill>
        </w:rPr>
        <w:t>00,000+条数据库中的专业买家进行电话一对一邀请。</w:t>
      </w:r>
    </w:p>
    <w:p>
      <w:pPr>
        <w:pStyle w:val="11"/>
        <w:numPr>
          <w:ilvl w:val="0"/>
          <w:numId w:val="2"/>
        </w:numPr>
        <w:snapToGrid w:val="0"/>
        <w:ind w:left="480" w:hanging="480" w:hangingChars="200"/>
        <w:rPr>
          <w:rFonts w:ascii="微软雅黑" w:hAnsi="微软雅黑" w:eastAsia="微软雅黑" w:cstheme="minorEastAsia"/>
          <w:b/>
          <w:bCs/>
          <w:color w:val="000000" w:themeColor="text1"/>
          <w:sz w:val="24"/>
          <w:szCs w:val="24"/>
          <w14:textFill>
            <w14:solidFill>
              <w14:schemeClr w14:val="tx1"/>
            </w14:solidFill>
          </w14:textFill>
        </w:rPr>
      </w:pPr>
      <w:r>
        <w:rPr>
          <w:rFonts w:hint="eastAsia" w:ascii="微软雅黑" w:hAnsi="微软雅黑" w:eastAsia="微软雅黑" w:cstheme="minorEastAsia"/>
          <w:b/>
          <w:bCs/>
          <w:color w:val="000000" w:themeColor="text1"/>
          <w:sz w:val="24"/>
          <w:szCs w:val="24"/>
          <w14:textFill>
            <w14:solidFill>
              <w14:schemeClr w14:val="tx1"/>
            </w14:solidFill>
          </w14:textFill>
        </w:rPr>
        <w:t>市场地推提升展会渗透力</w:t>
      </w:r>
    </w:p>
    <w:p>
      <w:pPr>
        <w:pStyle w:val="18"/>
        <w:snapToGrid w:val="0"/>
        <w:ind w:left="420" w:firstLine="0" w:firstLineChars="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100余名市场地推团队针对川、渝、云、贵等省、市及区、县的建材商户，采取地毯式的推广成都建博会，面邀商户到会参观，全力增强巩固成都建博会的行业渗透力。</w:t>
      </w:r>
    </w:p>
    <w:p>
      <w:pPr>
        <w:pStyle w:val="11"/>
        <w:numPr>
          <w:ilvl w:val="0"/>
          <w:numId w:val="2"/>
        </w:numPr>
        <w:snapToGrid w:val="0"/>
        <w:ind w:left="480" w:hanging="480" w:hangingChars="200"/>
        <w:rPr>
          <w:rFonts w:ascii="微软雅黑" w:hAnsi="微软雅黑" w:eastAsia="微软雅黑" w:cstheme="minorEastAsia"/>
          <w:b/>
          <w:bCs/>
          <w:color w:val="000000" w:themeColor="text1"/>
          <w:sz w:val="24"/>
          <w:szCs w:val="24"/>
          <w14:textFill>
            <w14:solidFill>
              <w14:schemeClr w14:val="tx1"/>
            </w14:solidFill>
          </w14:textFill>
        </w:rPr>
      </w:pPr>
      <w:r>
        <w:rPr>
          <w:rFonts w:hint="eastAsia" w:ascii="微软雅黑" w:hAnsi="微软雅黑" w:eastAsia="微软雅黑" w:cstheme="minorEastAsia"/>
          <w:b/>
          <w:bCs/>
          <w:color w:val="000000" w:themeColor="text1"/>
          <w:sz w:val="24"/>
          <w:szCs w:val="24"/>
          <w14:textFill>
            <w14:solidFill>
              <w14:schemeClr w14:val="tx1"/>
            </w14:solidFill>
          </w14:textFill>
        </w:rPr>
        <w:t>专业组团提升观众专业度</w:t>
      </w:r>
    </w:p>
    <w:p>
      <w:pPr>
        <w:pStyle w:val="18"/>
        <w:snapToGrid w:val="0"/>
        <w:ind w:left="420" w:firstLine="0" w:firstLineChars="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成都建博会十余年的发展历程中，已与川、渝、云、贵等省、市及区、县的</w:t>
      </w:r>
      <w:bookmarkStart w:id="16" w:name="OLE_LINK5"/>
      <w:bookmarkStart w:id="17" w:name="OLE_LINK6"/>
      <w:r>
        <w:rPr>
          <w:rFonts w:hint="eastAsia" w:ascii="微软雅黑" w:hAnsi="微软雅黑" w:eastAsia="微软雅黑" w:cstheme="minorEastAsia"/>
          <w:bCs/>
          <w:color w:val="000000" w:themeColor="text1"/>
          <w:sz w:val="24"/>
          <w:szCs w:val="24"/>
          <w14:textFill>
            <w14:solidFill>
              <w14:schemeClr w14:val="tx1"/>
            </w14:solidFill>
          </w14:textFill>
        </w:rPr>
        <w:t>1000余家建材装饰城，以及1</w:t>
      </w:r>
      <w:r>
        <w:rPr>
          <w:rFonts w:ascii="微软雅黑" w:hAnsi="微软雅黑" w:eastAsia="微软雅黑" w:cstheme="minorEastAsia"/>
          <w:bCs/>
          <w:color w:val="000000" w:themeColor="text1"/>
          <w:sz w:val="24"/>
          <w:szCs w:val="24"/>
          <w14:textFill>
            <w14:solidFill>
              <w14:schemeClr w14:val="tx1"/>
            </w14:solidFill>
          </w14:textFill>
        </w:rPr>
        <w:t>5</w:t>
      </w:r>
      <w:r>
        <w:rPr>
          <w:rFonts w:hint="eastAsia" w:ascii="微软雅黑" w:hAnsi="微软雅黑" w:eastAsia="微软雅黑" w:cstheme="minorEastAsia"/>
          <w:bCs/>
          <w:color w:val="000000" w:themeColor="text1"/>
          <w:sz w:val="24"/>
          <w:szCs w:val="24"/>
          <w14:textFill>
            <w14:solidFill>
              <w14:schemeClr w14:val="tx1"/>
            </w14:solidFill>
          </w14:textFill>
        </w:rPr>
        <w:t>0余家行业协会/商会、媒体单位结成合作伙伴关系</w:t>
      </w:r>
      <w:bookmarkEnd w:id="16"/>
      <w:bookmarkEnd w:id="17"/>
      <w:r>
        <w:rPr>
          <w:rFonts w:hint="eastAsia" w:ascii="微软雅黑" w:hAnsi="微软雅黑" w:eastAsia="微软雅黑" w:cstheme="minorEastAsia"/>
          <w:bCs/>
          <w:color w:val="000000" w:themeColor="text1"/>
          <w:sz w:val="24"/>
          <w:szCs w:val="24"/>
          <w14:textFill>
            <w14:solidFill>
              <w14:schemeClr w14:val="tx1"/>
            </w14:solidFill>
          </w14:textFill>
        </w:rPr>
        <w:t>。共同邀请组织商家和会员单位组团到会参观。</w:t>
      </w:r>
    </w:p>
    <w:p>
      <w:pPr>
        <w:pStyle w:val="11"/>
        <w:numPr>
          <w:ilvl w:val="0"/>
          <w:numId w:val="2"/>
        </w:numPr>
        <w:snapToGrid w:val="0"/>
        <w:ind w:left="480" w:hanging="480" w:hangingChars="200"/>
        <w:rPr>
          <w:rFonts w:ascii="微软雅黑" w:hAnsi="微软雅黑" w:eastAsia="微软雅黑" w:cstheme="minorEastAsia"/>
          <w:b/>
          <w:bCs/>
          <w:color w:val="000000" w:themeColor="text1"/>
          <w:sz w:val="24"/>
          <w:szCs w:val="24"/>
          <w14:textFill>
            <w14:solidFill>
              <w14:schemeClr w14:val="tx1"/>
            </w14:solidFill>
          </w14:textFill>
        </w:rPr>
      </w:pPr>
      <w:r>
        <w:rPr>
          <w:rFonts w:hint="eastAsia" w:ascii="微软雅黑" w:hAnsi="微软雅黑" w:eastAsia="微软雅黑" w:cstheme="minorEastAsia"/>
          <w:b/>
          <w:bCs/>
          <w:color w:val="000000" w:themeColor="text1"/>
          <w:sz w:val="24"/>
          <w:szCs w:val="24"/>
          <w14:textFill>
            <w14:solidFill>
              <w14:schemeClr w14:val="tx1"/>
            </w14:solidFill>
          </w14:textFill>
        </w:rPr>
        <w:t>全面整合资源提升行业参与力</w:t>
      </w:r>
    </w:p>
    <w:p>
      <w:pPr>
        <w:pStyle w:val="18"/>
        <w:snapToGrid w:val="0"/>
        <w:ind w:left="420" w:firstLine="0" w:firstLineChars="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通过与相关行业协会/商会、市场方、工业园区、媒体深入合作，共同主办和参与20</w:t>
      </w:r>
      <w:r>
        <w:rPr>
          <w:rFonts w:ascii="微软雅黑" w:hAnsi="微软雅黑" w:eastAsia="微软雅黑" w:cstheme="minorEastAsia"/>
          <w:bCs/>
          <w:color w:val="000000" w:themeColor="text1"/>
          <w:sz w:val="24"/>
          <w:szCs w:val="24"/>
          <w14:textFill>
            <w14:solidFill>
              <w14:schemeClr w14:val="tx1"/>
            </w14:solidFill>
          </w14:textFill>
        </w:rPr>
        <w:t>20</w:t>
      </w:r>
      <w:r>
        <w:rPr>
          <w:rFonts w:hint="eastAsia" w:ascii="微软雅黑" w:hAnsi="微软雅黑" w:eastAsia="微软雅黑" w:cstheme="minorEastAsia"/>
          <w:bCs/>
          <w:color w:val="000000" w:themeColor="text1"/>
          <w:sz w:val="24"/>
          <w:szCs w:val="24"/>
          <w14:textFill>
            <w14:solidFill>
              <w14:schemeClr w14:val="tx1"/>
            </w14:solidFill>
          </w14:textFill>
        </w:rPr>
        <w:t>成都建博会的组团参展和参观</w:t>
      </w:r>
      <w:bookmarkStart w:id="18" w:name="_Hlk488664534"/>
      <w:r>
        <w:rPr>
          <w:rFonts w:hint="eastAsia" w:ascii="微软雅黑" w:hAnsi="微软雅黑" w:eastAsia="微软雅黑" w:cstheme="minorEastAsia"/>
          <w:bCs/>
          <w:color w:val="000000" w:themeColor="text1"/>
          <w:sz w:val="24"/>
          <w:szCs w:val="24"/>
          <w14:textFill>
            <w14:solidFill>
              <w14:schemeClr w14:val="tx1"/>
            </w14:solidFill>
          </w14:textFill>
        </w:rPr>
        <w:t>，在</w:t>
      </w:r>
      <w:bookmarkEnd w:id="18"/>
      <w:r>
        <w:rPr>
          <w:rFonts w:hint="eastAsia" w:ascii="微软雅黑" w:hAnsi="微软雅黑" w:eastAsia="微软雅黑" w:cstheme="minorEastAsia"/>
          <w:bCs/>
          <w:color w:val="000000" w:themeColor="text1"/>
          <w:sz w:val="24"/>
          <w:szCs w:val="24"/>
          <w14:textFill>
            <w14:solidFill>
              <w14:schemeClr w14:val="tx1"/>
            </w14:solidFill>
          </w14:textFill>
        </w:rPr>
        <w:t>各合作单位召开的行业论坛、培训会、学术会、行业年会上做展会的全面推荐及发布；</w:t>
      </w:r>
      <w:bookmarkStart w:id="19" w:name="OLE_LINK7"/>
      <w:bookmarkStart w:id="20" w:name="OLE_LINK8"/>
      <w:r>
        <w:rPr>
          <w:rFonts w:hint="eastAsia" w:ascii="微软雅黑" w:hAnsi="微软雅黑" w:eastAsia="微软雅黑" w:cstheme="minorEastAsia"/>
          <w:bCs/>
          <w:color w:val="000000" w:themeColor="text1"/>
          <w:sz w:val="24"/>
          <w:szCs w:val="24"/>
          <w14:textFill>
            <w14:solidFill>
              <w14:schemeClr w14:val="tx1"/>
            </w14:solidFill>
          </w14:textFill>
        </w:rPr>
        <w:t>在各合作单位的资源平台上为展会做深度宣传及相关报道；同时在展会现场共同主办20</w:t>
      </w:r>
      <w:r>
        <w:rPr>
          <w:rFonts w:ascii="微软雅黑" w:hAnsi="微软雅黑" w:eastAsia="微软雅黑" w:cstheme="minorEastAsia"/>
          <w:bCs/>
          <w:color w:val="000000" w:themeColor="text1"/>
          <w:sz w:val="24"/>
          <w:szCs w:val="24"/>
          <w14:textFill>
            <w14:solidFill>
              <w14:schemeClr w14:val="tx1"/>
            </w14:solidFill>
          </w14:textFill>
        </w:rPr>
        <w:t>20</w:t>
      </w:r>
      <w:r>
        <w:rPr>
          <w:rFonts w:hint="eastAsia" w:ascii="微软雅黑" w:hAnsi="微软雅黑" w:eastAsia="微软雅黑" w:cstheme="minorEastAsia"/>
          <w:bCs/>
          <w:color w:val="000000" w:themeColor="text1"/>
          <w:sz w:val="24"/>
          <w:szCs w:val="24"/>
          <w14:textFill>
            <w14:solidFill>
              <w14:schemeClr w14:val="tx1"/>
            </w14:solidFill>
          </w14:textFill>
        </w:rPr>
        <w:t>行业高峰论坛</w:t>
      </w:r>
      <w:bookmarkEnd w:id="19"/>
      <w:bookmarkEnd w:id="20"/>
      <w:r>
        <w:rPr>
          <w:rFonts w:hint="eastAsia" w:ascii="微软雅黑" w:hAnsi="微软雅黑" w:eastAsia="微软雅黑" w:cstheme="minorEastAsia"/>
          <w:bCs/>
          <w:color w:val="000000" w:themeColor="text1"/>
          <w:sz w:val="24"/>
          <w:szCs w:val="24"/>
          <w14:textFill>
            <w14:solidFill>
              <w14:schemeClr w14:val="tx1"/>
            </w14:solidFill>
          </w14:textFill>
        </w:rPr>
        <w:t>。</w:t>
      </w:r>
    </w:p>
    <w:bookmarkEnd w:id="13"/>
    <w:p>
      <w:pPr>
        <w:widowControl/>
        <w:snapToGrid w:val="0"/>
        <w:spacing w:before="156" w:beforeLines="50"/>
        <w:jc w:val="left"/>
        <w:rPr>
          <w:rFonts w:ascii="微软雅黑" w:hAnsi="微软雅黑" w:eastAsia="微软雅黑" w:cstheme="minorEastAsia"/>
          <w:b/>
          <w:color w:val="000000" w:themeColor="text1"/>
          <w:sz w:val="24"/>
          <w:szCs w:val="24"/>
          <w14:textFill>
            <w14:solidFill>
              <w14:schemeClr w14:val="tx1"/>
            </w14:solidFill>
          </w14:textFill>
        </w:rPr>
      </w:pPr>
      <w:r>
        <w:rPr>
          <w:rFonts w:hint="eastAsia" w:ascii="微软雅黑" w:hAnsi="微软雅黑" w:eastAsia="微软雅黑" w:cstheme="minorEastAsia"/>
          <w:b/>
          <w:color w:val="000000" w:themeColor="text1"/>
          <w:sz w:val="24"/>
          <w:szCs w:val="24"/>
          <w14:textFill>
            <w14:solidFill>
              <w14:schemeClr w14:val="tx1"/>
            </w14:solidFill>
          </w14:textFill>
        </w:rPr>
        <w:t>深度推广宣传覆盖最大化</w:t>
      </w:r>
    </w:p>
    <w:p>
      <w:pPr>
        <w:pStyle w:val="18"/>
        <w:snapToGrid w:val="0"/>
        <w:ind w:firstLine="48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20</w:t>
      </w:r>
      <w:r>
        <w:rPr>
          <w:rFonts w:ascii="微软雅黑" w:hAnsi="微软雅黑" w:eastAsia="微软雅黑" w:cstheme="minorEastAsia"/>
          <w:bCs/>
          <w:color w:val="000000" w:themeColor="text1"/>
          <w:sz w:val="24"/>
          <w:szCs w:val="24"/>
          <w14:textFill>
            <w14:solidFill>
              <w14:schemeClr w14:val="tx1"/>
            </w14:solidFill>
          </w14:textFill>
        </w:rPr>
        <w:t>20</w:t>
      </w:r>
      <w:r>
        <w:rPr>
          <w:rFonts w:hint="eastAsia" w:ascii="微软雅黑" w:hAnsi="微软雅黑" w:eastAsia="微软雅黑" w:cstheme="minorEastAsia"/>
          <w:bCs/>
          <w:color w:val="000000" w:themeColor="text1"/>
          <w:sz w:val="24"/>
          <w:szCs w:val="24"/>
          <w14:textFill>
            <w14:solidFill>
              <w14:schemeClr w14:val="tx1"/>
            </w14:solidFill>
          </w14:textFill>
        </w:rPr>
        <w:t>成都建博会将通过线上线下、展商专业观众互动等全方位多角度的宣传渠道，除传统宣传方式外，将运用更多新媒体、新形式深度宣传，以确保专业买家到场质量，展商实现贸易合作与品牌推广双赢。</w:t>
      </w:r>
    </w:p>
    <w:p>
      <w:pPr>
        <w:widowControl/>
        <w:snapToGrid w:val="0"/>
        <w:rPr>
          <w:rFonts w:ascii="微软雅黑" w:hAnsi="微软雅黑" w:eastAsia="微软雅黑" w:cstheme="minorEastAsia"/>
          <w:b/>
          <w:bCs/>
          <w:color w:val="000000" w:themeColor="text1"/>
          <w:kern w:val="0"/>
          <w:sz w:val="24"/>
          <w:szCs w:val="24"/>
          <w14:textFill>
            <w14:solidFill>
              <w14:schemeClr w14:val="tx1"/>
            </w14:solidFill>
          </w14:textFill>
        </w:rPr>
      </w:pPr>
      <w:r>
        <w:rPr>
          <w:rFonts w:hint="eastAsia" w:ascii="微软雅黑" w:hAnsi="微软雅黑" w:eastAsia="微软雅黑" w:cstheme="minorEastAsia"/>
          <w:b/>
          <w:bCs/>
          <w:color w:val="000000" w:themeColor="text1"/>
          <w:kern w:val="0"/>
          <w:sz w:val="24"/>
          <w:szCs w:val="24"/>
          <w14:textFill>
            <w14:solidFill>
              <w14:schemeClr w14:val="tx1"/>
            </w14:solidFill>
          </w14:textFill>
        </w:rPr>
        <w:t>展讯推送：</w:t>
      </w:r>
      <w:r>
        <w:rPr>
          <w:rFonts w:hint="eastAsia" w:ascii="微软雅黑" w:hAnsi="微软雅黑" w:eastAsia="微软雅黑" w:cstheme="minorEastAsia"/>
          <w:bCs/>
          <w:color w:val="000000" w:themeColor="text1"/>
          <w:kern w:val="0"/>
          <w:sz w:val="24"/>
          <w:szCs w:val="24"/>
          <w14:textFill>
            <w14:solidFill>
              <w14:schemeClr w14:val="tx1"/>
            </w14:solidFill>
          </w14:textFill>
        </w:rPr>
        <w:t>直邮、短信、邮件、展商定制H5</w:t>
      </w:r>
    </w:p>
    <w:p>
      <w:pPr>
        <w:widowControl/>
        <w:snapToGrid w:val="0"/>
        <w:ind w:left="1920" w:hanging="1921" w:hangingChars="800"/>
        <w:rPr>
          <w:rFonts w:ascii="微软雅黑" w:hAnsi="微软雅黑" w:eastAsia="微软雅黑" w:cstheme="minorEastAsia"/>
          <w:bCs/>
          <w:color w:val="000000" w:themeColor="text1"/>
          <w:kern w:val="0"/>
          <w:sz w:val="24"/>
          <w:szCs w:val="24"/>
          <w14:textFill>
            <w14:solidFill>
              <w14:schemeClr w14:val="tx1"/>
            </w14:solidFill>
          </w14:textFill>
        </w:rPr>
      </w:pPr>
      <w:r>
        <w:rPr>
          <w:rFonts w:hint="eastAsia" w:ascii="微软雅黑" w:hAnsi="微软雅黑" w:eastAsia="微软雅黑" w:cstheme="minorEastAsia"/>
          <w:b/>
          <w:bCs/>
          <w:color w:val="000000" w:themeColor="text1"/>
          <w:kern w:val="0"/>
          <w:sz w:val="24"/>
          <w:szCs w:val="24"/>
          <w14:textFill>
            <w14:solidFill>
              <w14:schemeClr w14:val="tx1"/>
            </w14:solidFill>
          </w14:textFill>
        </w:rPr>
        <w:t>新媒体平台推广：</w:t>
      </w:r>
      <w:r>
        <w:rPr>
          <w:rFonts w:hint="eastAsia" w:ascii="微软雅黑" w:hAnsi="微软雅黑" w:eastAsia="微软雅黑" w:cstheme="minorEastAsia"/>
          <w:bCs/>
          <w:color w:val="000000" w:themeColor="text1"/>
          <w:kern w:val="0"/>
          <w:sz w:val="24"/>
          <w:szCs w:val="24"/>
          <w14:textFill>
            <w14:solidFill>
              <w14:schemeClr w14:val="tx1"/>
            </w14:solidFill>
          </w14:textFill>
        </w:rPr>
        <w:t>微信订阅号、服务号，微博，LBS精准投放（AD7），DSP大数据精准投放（双端投放），百度SEM、360SEM，百度、阿里、腾讯网盟的精准广告投放</w:t>
      </w:r>
    </w:p>
    <w:p>
      <w:pPr>
        <w:widowControl/>
        <w:snapToGrid w:val="0"/>
        <w:rPr>
          <w:rFonts w:ascii="微软雅黑" w:hAnsi="微软雅黑" w:eastAsia="微软雅黑" w:cstheme="minorEastAsia"/>
          <w:bCs/>
          <w:color w:val="000000" w:themeColor="text1"/>
          <w:kern w:val="0"/>
          <w:sz w:val="24"/>
          <w:szCs w:val="24"/>
          <w14:textFill>
            <w14:solidFill>
              <w14:schemeClr w14:val="tx1"/>
            </w14:solidFill>
          </w14:textFill>
        </w:rPr>
      </w:pPr>
      <w:r>
        <w:rPr>
          <w:rFonts w:hint="eastAsia" w:ascii="微软雅黑" w:hAnsi="微软雅黑" w:eastAsia="微软雅黑" w:cstheme="minorEastAsia"/>
          <w:b/>
          <w:bCs/>
          <w:color w:val="000000" w:themeColor="text1"/>
          <w:kern w:val="0"/>
          <w:sz w:val="24"/>
          <w:szCs w:val="24"/>
          <w14:textFill>
            <w14:solidFill>
              <w14:schemeClr w14:val="tx1"/>
            </w14:solidFill>
          </w14:textFill>
        </w:rPr>
        <w:t>媒体传播：</w:t>
      </w:r>
      <w:r>
        <w:rPr>
          <w:rFonts w:hint="eastAsia" w:ascii="微软雅黑" w:hAnsi="微软雅黑" w:eastAsia="微软雅黑" w:cstheme="minorEastAsia"/>
          <w:bCs/>
          <w:color w:val="000000" w:themeColor="text1"/>
          <w:kern w:val="0"/>
          <w:sz w:val="24"/>
          <w:szCs w:val="24"/>
          <w14:textFill>
            <w14:solidFill>
              <w14:schemeClr w14:val="tx1"/>
            </w14:solidFill>
          </w14:textFill>
        </w:rPr>
        <w:t>500+行业网络媒体合作、100+行业专业刊物、300+专业公众媒体、20+大众报纸电视台</w:t>
      </w:r>
    </w:p>
    <w:p>
      <w:pPr>
        <w:widowControl/>
        <w:snapToGrid w:val="0"/>
        <w:rPr>
          <w:rFonts w:ascii="微软雅黑" w:hAnsi="微软雅黑" w:eastAsia="微软雅黑" w:cstheme="minorEastAsia"/>
          <w:bCs/>
          <w:color w:val="000000" w:themeColor="text1"/>
          <w:kern w:val="0"/>
          <w:sz w:val="24"/>
          <w:szCs w:val="24"/>
          <w14:textFill>
            <w14:solidFill>
              <w14:schemeClr w14:val="tx1"/>
            </w14:solidFill>
          </w14:textFill>
        </w:rPr>
      </w:pPr>
      <w:r>
        <w:rPr>
          <w:rFonts w:hint="eastAsia" w:ascii="微软雅黑" w:hAnsi="微软雅黑" w:eastAsia="微软雅黑" w:cstheme="minorEastAsia"/>
          <w:b/>
          <w:bCs/>
          <w:color w:val="000000" w:themeColor="text1"/>
          <w:kern w:val="0"/>
          <w:sz w:val="24"/>
          <w:szCs w:val="24"/>
          <w14:textFill>
            <w14:solidFill>
              <w14:schemeClr w14:val="tx1"/>
            </w14:solidFill>
          </w14:textFill>
        </w:rPr>
        <w:t>行业媒体：</w:t>
      </w:r>
      <w:r>
        <w:rPr>
          <w:rFonts w:hint="eastAsia" w:ascii="微软雅黑" w:hAnsi="微软雅黑" w:eastAsia="微软雅黑" w:cstheme="minorEastAsia"/>
          <w:bCs/>
          <w:color w:val="000000" w:themeColor="text1"/>
          <w:kern w:val="0"/>
          <w:sz w:val="24"/>
          <w:szCs w:val="24"/>
          <w14:textFill>
            <w14:solidFill>
              <w14:schemeClr w14:val="tx1"/>
            </w14:solidFill>
          </w14:textFill>
        </w:rPr>
        <w:t>九正建材、建材商界、中华建材网、中国建材网、锋镝传媒、中华门窗网、搜门网、中国优建材网、慧亚传媒-家居热线、家具专区网、中外涂料、《保温、砂浆、涂料》杂志、《智哪儿》、《中国林业产业》、舒适e家、家居e商、金觉传媒等</w:t>
      </w:r>
    </w:p>
    <w:p>
      <w:pPr>
        <w:widowControl/>
        <w:snapToGrid w:val="0"/>
        <w:jc w:val="left"/>
        <w:rPr>
          <w:rFonts w:ascii="微软雅黑" w:hAnsi="微软雅黑" w:eastAsia="微软雅黑" w:cs="Times New Roman"/>
          <w:color w:val="000000" w:themeColor="text1"/>
          <w:kern w:val="0"/>
          <w:sz w:val="24"/>
          <w:szCs w:val="24"/>
          <w14:textFill>
            <w14:solidFill>
              <w14:schemeClr w14:val="tx1"/>
            </w14:solidFill>
          </w14:textFill>
        </w:rPr>
      </w:pPr>
      <w:r>
        <w:rPr>
          <w:rFonts w:hint="eastAsia" w:ascii="微软雅黑" w:hAnsi="微软雅黑" w:eastAsia="微软雅黑" w:cs="Times New Roman"/>
          <w:b/>
          <w:bCs/>
          <w:color w:val="000000" w:themeColor="text1"/>
          <w:kern w:val="0"/>
          <w:sz w:val="24"/>
          <w:szCs w:val="24"/>
          <w14:textFill>
            <w14:solidFill>
              <w14:schemeClr w14:val="tx1"/>
            </w14:solidFill>
          </w14:textFill>
        </w:rPr>
        <w:t>大众媒体宣传：</w:t>
      </w:r>
      <w:r>
        <w:rPr>
          <w:rFonts w:hint="eastAsia" w:ascii="微软雅黑" w:hAnsi="微软雅黑" w:eastAsia="微软雅黑" w:cs="Times New Roman"/>
          <w:color w:val="000000" w:themeColor="text1"/>
          <w:kern w:val="0"/>
          <w:sz w:val="24"/>
          <w:szCs w:val="24"/>
          <w14:textFill>
            <w14:solidFill>
              <w14:schemeClr w14:val="tx1"/>
            </w14:solidFill>
          </w14:textFill>
        </w:rPr>
        <w:t xml:space="preserve">如：四川三台、四川四台、成都一台、成都三台、成都五台、四川卫视、《成都日报》、《成都商报》、《成都晚报》、新浪、中国网、搜狐新闻、华西都市网、四川经济日报、封面新闻、四川新闻网、腾讯、今日头条、网易新闻等省市电视台进行广告合作和展会新闻报道。 </w:t>
      </w:r>
    </w:p>
    <w:p>
      <w:pPr>
        <w:widowControl/>
        <w:snapToGrid w:val="0"/>
        <w:jc w:val="left"/>
        <w:rPr>
          <w:rFonts w:ascii="微软雅黑" w:hAnsi="微软雅黑" w:eastAsia="微软雅黑" w:cs="Times New Roman"/>
          <w:color w:val="000000" w:themeColor="text1"/>
          <w:kern w:val="0"/>
          <w:sz w:val="24"/>
          <w:szCs w:val="24"/>
          <w14:textFill>
            <w14:solidFill>
              <w14:schemeClr w14:val="tx1"/>
            </w14:solidFill>
          </w14:textFill>
        </w:rPr>
      </w:pPr>
      <w:r>
        <w:rPr>
          <w:rFonts w:hint="eastAsia" w:ascii="微软雅黑" w:hAnsi="微软雅黑" w:eastAsia="微软雅黑" w:cs="Times New Roman"/>
          <w:b/>
          <w:bCs/>
          <w:color w:val="000000" w:themeColor="text1"/>
          <w:kern w:val="0"/>
          <w:sz w:val="24"/>
          <w:szCs w:val="24"/>
          <w14:textFill>
            <w14:solidFill>
              <w14:schemeClr w14:val="tx1"/>
            </w14:solidFill>
          </w14:textFill>
        </w:rPr>
        <w:t>户外广告：</w:t>
      </w:r>
      <w:r>
        <w:rPr>
          <w:rFonts w:hint="eastAsia" w:ascii="微软雅黑" w:hAnsi="微软雅黑" w:eastAsia="微软雅黑" w:cs="Times New Roman"/>
          <w:color w:val="000000" w:themeColor="text1"/>
          <w:kern w:val="0"/>
          <w:sz w:val="24"/>
          <w:szCs w:val="24"/>
          <w14:textFill>
            <w14:solidFill>
              <w14:schemeClr w14:val="tx1"/>
            </w14:solidFill>
          </w14:textFill>
        </w:rPr>
        <w:t>在四川、重庆、云南、贵州等省市的装饰城、建材市场、建材产业园区发布户外广告。</w:t>
      </w:r>
    </w:p>
    <w:p>
      <w:pPr>
        <w:rPr>
          <w:rFonts w:ascii="微软雅黑" w:hAnsi="微软雅黑" w:eastAsia="微软雅黑" w:cstheme="minorEastAsia"/>
          <w:b/>
          <w:bCs/>
          <w:color w:val="000000" w:themeColor="text1"/>
          <w:sz w:val="28"/>
          <w:szCs w:val="28"/>
          <w14:textFill>
            <w14:solidFill>
              <w14:schemeClr w14:val="tx1"/>
            </w14:solidFill>
          </w14:textFill>
        </w:rPr>
      </w:pPr>
      <w:bookmarkStart w:id="21" w:name="_Hlk489534938"/>
      <w:r>
        <w:rPr>
          <w:rFonts w:hint="eastAsia" w:ascii="微软雅黑" w:hAnsi="微软雅黑" w:eastAsia="微软雅黑" w:cstheme="minorEastAsia"/>
          <w:b/>
          <w:bCs/>
          <w:color w:val="000000" w:themeColor="text1"/>
          <w:sz w:val="28"/>
          <w:szCs w:val="28"/>
          <w14:textFill>
            <w14:solidFill>
              <w14:schemeClr w14:val="tx1"/>
            </w14:solidFill>
          </w14:textFill>
        </w:rPr>
        <w:t>201</w:t>
      </w:r>
      <w:r>
        <w:rPr>
          <w:rFonts w:ascii="微软雅黑" w:hAnsi="微软雅黑" w:eastAsia="微软雅黑" w:cstheme="minorEastAsia"/>
          <w:b/>
          <w:bCs/>
          <w:color w:val="000000" w:themeColor="text1"/>
          <w:sz w:val="28"/>
          <w:szCs w:val="28"/>
          <w14:textFill>
            <w14:solidFill>
              <w14:schemeClr w14:val="tx1"/>
            </w14:solidFill>
          </w14:textFill>
        </w:rPr>
        <w:t>9</w:t>
      </w:r>
      <w:r>
        <w:rPr>
          <w:rFonts w:hint="eastAsia" w:ascii="微软雅黑" w:hAnsi="微软雅黑" w:eastAsia="微软雅黑" w:cstheme="minorEastAsia"/>
          <w:b/>
          <w:bCs/>
          <w:color w:val="000000" w:themeColor="text1"/>
          <w:sz w:val="28"/>
          <w:szCs w:val="28"/>
          <w14:textFill>
            <w14:solidFill>
              <w14:schemeClr w14:val="tx1"/>
            </w14:solidFill>
          </w14:textFill>
        </w:rPr>
        <w:t>·CCBD回顾</w:t>
      </w:r>
    </w:p>
    <w:p>
      <w:pPr>
        <w:snapToGrid w:val="0"/>
        <w:ind w:firstLine="480" w:firstLineChars="20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2</w:t>
      </w:r>
      <w:r>
        <w:rPr>
          <w:rFonts w:ascii="微软雅黑" w:hAnsi="微软雅黑" w:eastAsia="微软雅黑" w:cstheme="minorEastAsia"/>
          <w:bCs/>
          <w:color w:val="000000" w:themeColor="text1"/>
          <w:sz w:val="24"/>
          <w:szCs w:val="24"/>
          <w14:textFill>
            <w14:solidFill>
              <w14:schemeClr w14:val="tx1"/>
            </w14:solidFill>
          </w14:textFill>
        </w:rPr>
        <w:t>019第</w:t>
      </w:r>
      <w:r>
        <w:rPr>
          <w:rFonts w:hint="eastAsia" w:ascii="微软雅黑" w:hAnsi="微软雅黑" w:eastAsia="微软雅黑" w:cstheme="minorEastAsia"/>
          <w:bCs/>
          <w:color w:val="000000" w:themeColor="text1"/>
          <w:sz w:val="24"/>
          <w:szCs w:val="24"/>
          <w14:textFill>
            <w14:solidFill>
              <w14:schemeClr w14:val="tx1"/>
            </w14:solidFill>
          </w14:textFill>
        </w:rPr>
        <w:t>十九</w:t>
      </w:r>
      <w:r>
        <w:rPr>
          <w:rFonts w:ascii="微软雅黑" w:hAnsi="微软雅黑" w:eastAsia="微软雅黑" w:cstheme="minorEastAsia"/>
          <w:bCs/>
          <w:color w:val="000000" w:themeColor="text1"/>
          <w:sz w:val="24"/>
          <w:szCs w:val="24"/>
          <w14:textFill>
            <w14:solidFill>
              <w14:schemeClr w14:val="tx1"/>
            </w14:solidFill>
          </w14:textFill>
        </w:rPr>
        <w:t>届成都建博会展览面积13万平方米，参展企业1447家，展位4214个，同期举行不同主题行业高峰论坛16场，专业观众人数达</w:t>
      </w:r>
      <w:r>
        <w:rPr>
          <w:rFonts w:hint="eastAsia" w:ascii="微软雅黑" w:hAnsi="微软雅黑" w:eastAsia="微软雅黑" w:cstheme="minorEastAsia"/>
          <w:bCs/>
          <w:color w:val="000000" w:themeColor="text1"/>
          <w:sz w:val="24"/>
          <w:szCs w:val="24"/>
          <w14:textFill>
            <w14:solidFill>
              <w14:schemeClr w14:val="tx1"/>
            </w14:solidFill>
          </w14:textFill>
        </w:rPr>
        <w:t>9</w:t>
      </w:r>
      <w:r>
        <w:rPr>
          <w:rFonts w:ascii="微软雅黑" w:hAnsi="微软雅黑" w:eastAsia="微软雅黑" w:cstheme="minorEastAsia"/>
          <w:bCs/>
          <w:color w:val="000000" w:themeColor="text1"/>
          <w:sz w:val="24"/>
          <w:szCs w:val="24"/>
          <w14:textFill>
            <w14:solidFill>
              <w14:schemeClr w14:val="tx1"/>
            </w14:solidFill>
          </w14:textFill>
        </w:rPr>
        <w:t>8754人次</w:t>
      </w:r>
      <w:r>
        <w:rPr>
          <w:rFonts w:hint="eastAsia" w:ascii="微软雅黑" w:hAnsi="微软雅黑" w:eastAsia="微软雅黑" w:cstheme="minorEastAsia"/>
          <w:bCs/>
          <w:color w:val="000000" w:themeColor="text1"/>
          <w:sz w:val="24"/>
          <w:szCs w:val="24"/>
          <w14:textFill>
            <w14:solidFill>
              <w14:schemeClr w14:val="tx1"/>
            </w14:solidFill>
          </w14:textFill>
        </w:rPr>
        <w:t>。</w:t>
      </w:r>
      <w:r>
        <w:rPr>
          <w:rFonts w:ascii="微软雅黑" w:hAnsi="微软雅黑" w:eastAsia="微软雅黑" w:cstheme="minorEastAsia"/>
          <w:bCs/>
          <w:color w:val="000000" w:themeColor="text1"/>
          <w:sz w:val="24"/>
          <w:szCs w:val="24"/>
          <w14:textFill>
            <w14:solidFill>
              <w14:schemeClr w14:val="tx1"/>
            </w14:solidFill>
          </w14:textFill>
        </w:rPr>
        <w:t xml:space="preserve"> </w:t>
      </w:r>
    </w:p>
    <w:p>
      <w:pPr>
        <w:snapToGrid w:val="0"/>
        <w:rPr>
          <w:rFonts w:ascii="微软雅黑" w:hAnsi="微软雅黑" w:eastAsia="微软雅黑" w:cstheme="minorEastAsia"/>
          <w:b/>
          <w:bCs/>
          <w:color w:val="000000" w:themeColor="text1"/>
          <w:sz w:val="28"/>
          <w:szCs w:val="28"/>
          <w14:textFill>
            <w14:solidFill>
              <w14:schemeClr w14:val="tx1"/>
            </w14:solidFill>
          </w14:textFill>
        </w:rPr>
      </w:pPr>
      <w:r>
        <w:rPr>
          <w:rFonts w:hint="eastAsia" w:ascii="微软雅黑" w:hAnsi="微软雅黑" w:eastAsia="微软雅黑" w:cstheme="minorEastAsia"/>
          <w:b/>
          <w:bCs/>
          <w:color w:val="000000" w:themeColor="text1"/>
          <w:sz w:val="28"/>
          <w:szCs w:val="28"/>
          <w14:textFill>
            <w14:solidFill>
              <w14:schemeClr w14:val="tx1"/>
            </w14:solidFill>
          </w14:textFill>
        </w:rPr>
        <w:t>201</w:t>
      </w:r>
      <w:r>
        <w:rPr>
          <w:rFonts w:ascii="微软雅黑" w:hAnsi="微软雅黑" w:eastAsia="微软雅黑" w:cstheme="minorEastAsia"/>
          <w:b/>
          <w:bCs/>
          <w:color w:val="000000" w:themeColor="text1"/>
          <w:sz w:val="28"/>
          <w:szCs w:val="28"/>
          <w14:textFill>
            <w14:solidFill>
              <w14:schemeClr w14:val="tx1"/>
            </w14:solidFill>
          </w14:textFill>
        </w:rPr>
        <w:t>9</w:t>
      </w:r>
      <w:r>
        <w:rPr>
          <w:rFonts w:hint="eastAsia" w:ascii="微软雅黑" w:hAnsi="微软雅黑" w:eastAsia="微软雅黑" w:cstheme="minorEastAsia"/>
          <w:b/>
          <w:bCs/>
          <w:color w:val="000000" w:themeColor="text1"/>
          <w:sz w:val="28"/>
          <w:szCs w:val="28"/>
          <w14:textFill>
            <w14:solidFill>
              <w14:schemeClr w14:val="tx1"/>
            </w14:solidFill>
          </w14:textFill>
        </w:rPr>
        <w:t xml:space="preserve">·CCBD—观众 </w:t>
      </w:r>
    </w:p>
    <w:p>
      <w:pPr>
        <w:snapToGrid w:val="0"/>
        <w:rPr>
          <w:rFonts w:ascii="微软雅黑" w:hAnsi="微软雅黑" w:eastAsia="微软雅黑" w:cstheme="minorEastAsia"/>
          <w:color w:val="000000" w:themeColor="text1"/>
          <w:sz w:val="24"/>
          <w:szCs w:val="24"/>
          <w14:textFill>
            <w14:solidFill>
              <w14:schemeClr w14:val="tx1"/>
            </w14:solidFill>
          </w14:textFill>
        </w:rPr>
      </w:pPr>
      <w:r>
        <w:rPr>
          <w:rFonts w:hint="eastAsia" w:ascii="微软雅黑" w:hAnsi="微软雅黑" w:eastAsia="微软雅黑" w:cstheme="minorEastAsia"/>
          <w:color w:val="000000" w:themeColor="text1"/>
          <w:sz w:val="24"/>
          <w:szCs w:val="24"/>
          <w14:textFill>
            <w14:solidFill>
              <w14:schemeClr w14:val="tx1"/>
            </w14:solidFill>
          </w14:textFill>
        </w:rPr>
        <w:t>观众总量：</w:t>
      </w:r>
      <w:r>
        <w:rPr>
          <w:rFonts w:ascii="微软雅黑" w:hAnsi="微软雅黑" w:eastAsia="微软雅黑" w:cstheme="minorEastAsia"/>
          <w:color w:val="000000" w:themeColor="text1"/>
          <w:sz w:val="24"/>
          <w:szCs w:val="24"/>
          <w14:textFill>
            <w14:solidFill>
              <w14:schemeClr w14:val="tx1"/>
            </w14:solidFill>
          </w14:textFill>
        </w:rPr>
        <w:t>98754</w:t>
      </w:r>
      <w:r>
        <w:rPr>
          <w:rFonts w:hint="eastAsia" w:ascii="微软雅黑" w:hAnsi="微软雅黑" w:eastAsia="微软雅黑" w:cstheme="minorEastAsia"/>
          <w:color w:val="000000" w:themeColor="text1"/>
          <w:sz w:val="24"/>
          <w:szCs w:val="24"/>
          <w14:textFill>
            <w14:solidFill>
              <w14:schemeClr w14:val="tx1"/>
            </w14:solidFill>
          </w14:textFill>
        </w:rPr>
        <w:t>人次，专业观众人数较1</w:t>
      </w:r>
      <w:r>
        <w:rPr>
          <w:rFonts w:ascii="微软雅黑" w:hAnsi="微软雅黑" w:eastAsia="微软雅黑" w:cstheme="minorEastAsia"/>
          <w:color w:val="000000" w:themeColor="text1"/>
          <w:sz w:val="24"/>
          <w:szCs w:val="24"/>
          <w14:textFill>
            <w14:solidFill>
              <w14:schemeClr w14:val="tx1"/>
            </w14:solidFill>
          </w14:textFill>
        </w:rPr>
        <w:t>8</w:t>
      </w:r>
      <w:r>
        <w:rPr>
          <w:rFonts w:hint="eastAsia" w:ascii="微软雅黑" w:hAnsi="微软雅黑" w:eastAsia="微软雅黑" w:cstheme="minorEastAsia"/>
          <w:color w:val="000000" w:themeColor="text1"/>
          <w:sz w:val="24"/>
          <w:szCs w:val="24"/>
          <w14:textFill>
            <w14:solidFill>
              <w14:schemeClr w14:val="tx1"/>
            </w14:solidFill>
          </w14:textFill>
        </w:rPr>
        <w:t>年增长</w:t>
      </w:r>
      <w:r>
        <w:rPr>
          <w:rFonts w:ascii="微软雅黑" w:hAnsi="微软雅黑" w:eastAsia="微软雅黑" w:cstheme="minorEastAsia"/>
          <w:color w:val="000000" w:themeColor="text1"/>
          <w:sz w:val="24"/>
          <w:szCs w:val="24"/>
          <w14:textFill>
            <w14:solidFill>
              <w14:schemeClr w14:val="tx1"/>
            </w14:solidFill>
          </w14:textFill>
        </w:rPr>
        <w:t>46</w:t>
      </w:r>
      <w:r>
        <w:rPr>
          <w:rFonts w:hint="eastAsia" w:ascii="微软雅黑" w:hAnsi="微软雅黑" w:eastAsia="微软雅黑" w:cstheme="minorEastAsia"/>
          <w:color w:val="000000" w:themeColor="text1"/>
          <w:sz w:val="24"/>
          <w:szCs w:val="24"/>
          <w14:textFill>
            <w14:solidFill>
              <w14:schemeClr w14:val="tx1"/>
            </w14:solidFill>
          </w14:textFill>
        </w:rPr>
        <w:t>%。</w:t>
      </w:r>
    </w:p>
    <w:p>
      <w:pPr>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stheme="minorEastAsia"/>
          <w:color w:val="000000" w:themeColor="text1"/>
          <w:sz w:val="24"/>
          <w:szCs w:val="24"/>
          <w14:textFill>
            <w14:solidFill>
              <w14:schemeClr w14:val="tx1"/>
            </w14:solidFill>
          </w14:textFill>
        </w:rPr>
        <w:drawing>
          <wp:inline distT="0" distB="0" distL="114300" distR="114300">
            <wp:extent cx="6115050" cy="2619375"/>
            <wp:effectExtent l="0" t="0" r="0" b="952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rPr>
          <w:rFonts w:ascii="微软雅黑" w:hAnsi="微软雅黑" w:eastAsia="微软雅黑" w:cstheme="minorEastAsia"/>
          <w:b/>
          <w:bCs/>
          <w:color w:val="000000" w:themeColor="text1"/>
          <w:sz w:val="32"/>
          <w:szCs w:val="32"/>
          <w14:textFill>
            <w14:solidFill>
              <w14:schemeClr w14:val="tx1"/>
            </w14:solidFill>
          </w14:textFill>
        </w:rPr>
        <w:sectPr>
          <w:type w:val="continuous"/>
          <w:pgSz w:w="11906" w:h="16838"/>
          <w:pgMar w:top="1440" w:right="1080" w:bottom="1440" w:left="1080" w:header="567" w:footer="992" w:gutter="0"/>
          <w:cols w:space="425" w:num="1"/>
          <w:docGrid w:type="lines" w:linePitch="312" w:charSpace="0"/>
        </w:sectPr>
      </w:pPr>
      <w:r>
        <w:rPr>
          <w:rFonts w:hint="eastAsia" w:ascii="微软雅黑" w:hAnsi="微软雅黑" w:eastAsia="微软雅黑" w:cstheme="minorEastAsia"/>
          <w:b/>
          <w:bCs/>
          <w:color w:val="000000" w:themeColor="text1"/>
          <w:sz w:val="32"/>
          <w:szCs w:val="32"/>
          <w14:textFill>
            <w14:solidFill>
              <w14:schemeClr w14:val="tx1"/>
            </w14:solidFill>
          </w14:textFill>
        </w:rPr>
        <w:drawing>
          <wp:inline distT="0" distB="0" distL="0" distR="0">
            <wp:extent cx="6115050" cy="2667000"/>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rPr>
          <w:rFonts w:ascii="微软雅黑" w:hAnsi="微软雅黑" w:eastAsia="微软雅黑" w:cstheme="minorEastAsia"/>
          <w:color w:val="000000" w:themeColor="text1"/>
          <w:sz w:val="24"/>
          <w:szCs w:val="24"/>
          <w14:textFill>
            <w14:solidFill>
              <w14:schemeClr w14:val="tx1"/>
            </w14:solidFill>
          </w14:textFill>
        </w:rPr>
        <w:sectPr>
          <w:type w:val="continuous"/>
          <w:pgSz w:w="11906" w:h="16838"/>
          <w:pgMar w:top="1440" w:right="1080" w:bottom="1440" w:left="1080" w:header="851" w:footer="992" w:gutter="0"/>
          <w:cols w:equalWidth="0" w:num="2">
            <w:col w:w="4660" w:space="425"/>
            <w:col w:w="4660"/>
          </w:cols>
          <w:docGrid w:type="lines" w:linePitch="312" w:charSpace="0"/>
        </w:sectPr>
      </w:pPr>
    </w:p>
    <w:bookmarkEnd w:id="21"/>
    <w:p>
      <w:pPr>
        <w:snapToGrid w:val="0"/>
        <w:rPr>
          <w:rFonts w:ascii="微软雅黑" w:hAnsi="微软雅黑" w:eastAsia="微软雅黑" w:cstheme="minorEastAsia"/>
          <w:b/>
          <w:bCs/>
          <w:color w:val="000000" w:themeColor="text1"/>
          <w:sz w:val="28"/>
          <w:szCs w:val="28"/>
          <w14:textFill>
            <w14:solidFill>
              <w14:schemeClr w14:val="tx1"/>
            </w14:solidFill>
          </w14:textFill>
        </w:rPr>
      </w:pPr>
      <w:bookmarkStart w:id="22" w:name="_Hlk489534974"/>
      <w:r>
        <w:rPr>
          <w:rFonts w:hint="eastAsia" w:ascii="微软雅黑" w:hAnsi="微软雅黑" w:eastAsia="微软雅黑" w:cstheme="minorEastAsia"/>
          <w:b/>
          <w:bCs/>
          <w:color w:val="000000" w:themeColor="text1"/>
          <w:sz w:val="28"/>
          <w:szCs w:val="28"/>
          <w14:textFill>
            <w14:solidFill>
              <w14:schemeClr w14:val="tx1"/>
            </w14:solidFill>
          </w14:textFill>
        </w:rPr>
        <w:t>回顾201</w:t>
      </w:r>
      <w:r>
        <w:rPr>
          <w:rFonts w:ascii="微软雅黑" w:hAnsi="微软雅黑" w:eastAsia="微软雅黑" w:cstheme="minorEastAsia"/>
          <w:b/>
          <w:bCs/>
          <w:color w:val="000000" w:themeColor="text1"/>
          <w:sz w:val="28"/>
          <w:szCs w:val="28"/>
          <w14:textFill>
            <w14:solidFill>
              <w14:schemeClr w14:val="tx1"/>
            </w14:solidFill>
          </w14:textFill>
        </w:rPr>
        <w:t>9</w:t>
      </w:r>
      <w:r>
        <w:rPr>
          <w:rFonts w:hint="eastAsia" w:ascii="微软雅黑" w:hAnsi="微软雅黑" w:eastAsia="微软雅黑" w:cstheme="minorEastAsia"/>
          <w:b/>
          <w:bCs/>
          <w:color w:val="000000" w:themeColor="text1"/>
          <w:sz w:val="28"/>
          <w:szCs w:val="28"/>
          <w14:textFill>
            <w14:solidFill>
              <w14:schemeClr w14:val="tx1"/>
            </w14:solidFill>
          </w14:textFill>
        </w:rPr>
        <w:t>·CCBD—展商</w:t>
      </w:r>
    </w:p>
    <w:p>
      <w:pPr>
        <w:snapToGrid w:val="0"/>
        <w:rPr>
          <w:rFonts w:ascii="微软雅黑" w:hAnsi="微软雅黑" w:eastAsia="微软雅黑" w:cstheme="minorEastAsia"/>
          <w:color w:val="000000" w:themeColor="text1"/>
          <w:sz w:val="24"/>
          <w:szCs w:val="24"/>
          <w14:textFill>
            <w14:solidFill>
              <w14:schemeClr w14:val="tx1"/>
            </w14:solidFill>
          </w14:textFill>
        </w:rPr>
      </w:pPr>
      <w:r>
        <w:rPr>
          <w:rFonts w:hint="eastAsia" w:ascii="微软雅黑" w:hAnsi="微软雅黑" w:eastAsia="微软雅黑" w:cstheme="minorEastAsia"/>
          <w:color w:val="000000" w:themeColor="text1"/>
          <w:sz w:val="24"/>
          <w:szCs w:val="24"/>
          <w14:textFill>
            <w14:solidFill>
              <w14:schemeClr w14:val="tx1"/>
            </w14:solidFill>
          </w14:textFill>
        </w:rPr>
        <w:t>展商规模：</w:t>
      </w:r>
      <w:r>
        <w:rPr>
          <w:rFonts w:ascii="微软雅黑" w:hAnsi="微软雅黑" w:eastAsia="微软雅黑" w:cstheme="minorEastAsia"/>
          <w:color w:val="000000" w:themeColor="text1"/>
          <w:sz w:val="24"/>
          <w:szCs w:val="24"/>
          <w14:textFill>
            <w14:solidFill>
              <w14:schemeClr w14:val="tx1"/>
            </w14:solidFill>
          </w14:textFill>
        </w:rPr>
        <w:t>1447</w:t>
      </w:r>
      <w:r>
        <w:rPr>
          <w:rFonts w:hint="eastAsia" w:ascii="微软雅黑" w:hAnsi="微软雅黑" w:eastAsia="微软雅黑" w:cstheme="minorEastAsia"/>
          <w:color w:val="000000" w:themeColor="text1"/>
          <w:sz w:val="24"/>
          <w:szCs w:val="24"/>
          <w14:textFill>
            <w14:solidFill>
              <w14:schemeClr w14:val="tx1"/>
            </w14:solidFill>
          </w14:textFill>
        </w:rPr>
        <w:t>家展商数量，较1</w:t>
      </w:r>
      <w:r>
        <w:rPr>
          <w:rFonts w:ascii="微软雅黑" w:hAnsi="微软雅黑" w:eastAsia="微软雅黑" w:cstheme="minorEastAsia"/>
          <w:color w:val="000000" w:themeColor="text1"/>
          <w:sz w:val="24"/>
          <w:szCs w:val="24"/>
          <w14:textFill>
            <w14:solidFill>
              <w14:schemeClr w14:val="tx1"/>
            </w14:solidFill>
          </w14:textFill>
        </w:rPr>
        <w:t>8</w:t>
      </w:r>
      <w:r>
        <w:rPr>
          <w:rFonts w:hint="eastAsia" w:ascii="微软雅黑" w:hAnsi="微软雅黑" w:eastAsia="微软雅黑" w:cstheme="minorEastAsia"/>
          <w:color w:val="000000" w:themeColor="text1"/>
          <w:sz w:val="24"/>
          <w:szCs w:val="24"/>
          <w14:textFill>
            <w14:solidFill>
              <w14:schemeClr w14:val="tx1"/>
            </w14:solidFill>
          </w14:textFill>
        </w:rPr>
        <w:t>年增长8%。</w:t>
      </w:r>
    </w:p>
    <w:p>
      <w:pPr>
        <w:rPr>
          <w:rFonts w:ascii="微软雅黑" w:hAnsi="微软雅黑" w:eastAsia="微软雅黑" w:cstheme="minorEastAsia"/>
          <w:color w:val="000000" w:themeColor="text1"/>
          <w:sz w:val="24"/>
          <w:szCs w:val="24"/>
          <w14:textFill>
            <w14:solidFill>
              <w14:schemeClr w14:val="tx1"/>
            </w14:solidFill>
          </w14:textFill>
        </w:rPr>
      </w:pPr>
      <w:r>
        <w:rPr>
          <w:rFonts w:hint="eastAsia" w:ascii="微软雅黑" w:hAnsi="微软雅黑" w:eastAsia="微软雅黑" w:cstheme="minorEastAsia"/>
          <w:color w:val="000000" w:themeColor="text1"/>
          <w:sz w:val="24"/>
          <w:szCs w:val="24"/>
          <w14:textFill>
            <w14:solidFill>
              <w14:schemeClr w14:val="tx1"/>
            </w14:solidFill>
          </w14:textFill>
        </w:rPr>
        <w:drawing>
          <wp:inline distT="0" distB="0" distL="0" distR="0">
            <wp:extent cx="6067425" cy="2562225"/>
            <wp:effectExtent l="0" t="0" r="9525"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rPr>
          <w:rFonts w:ascii="微软雅黑" w:hAnsi="微软雅黑" w:eastAsia="微软雅黑" w:cstheme="minorEastAsia"/>
          <w:color w:val="000000" w:themeColor="text1"/>
          <w:sz w:val="24"/>
          <w:szCs w:val="24"/>
          <w14:textFill>
            <w14:solidFill>
              <w14:schemeClr w14:val="tx1"/>
            </w14:solidFill>
          </w14:textFill>
        </w:rPr>
      </w:pPr>
    </w:p>
    <w:bookmarkEnd w:id="22"/>
    <w:p>
      <w:pPr>
        <w:rPr>
          <w:rFonts w:ascii="微软雅黑" w:hAnsi="微软雅黑" w:eastAsia="微软雅黑" w:cstheme="minorEastAsia"/>
          <w:b/>
          <w:bCs/>
          <w:color w:val="000000" w:themeColor="text1"/>
          <w:sz w:val="28"/>
          <w:szCs w:val="28"/>
          <w14:textFill>
            <w14:solidFill>
              <w14:schemeClr w14:val="tx1"/>
            </w14:solidFill>
          </w14:textFill>
        </w:rPr>
      </w:pPr>
      <w:r>
        <w:rPr>
          <w:rFonts w:hint="eastAsia" w:ascii="微软雅黑" w:hAnsi="微软雅黑" w:eastAsia="微软雅黑" w:cstheme="minorEastAsia"/>
          <w:b/>
          <w:bCs/>
          <w:color w:val="000000" w:themeColor="text1"/>
          <w:sz w:val="28"/>
          <w:szCs w:val="28"/>
          <w14:textFill>
            <w14:solidFill>
              <w14:schemeClr w14:val="tx1"/>
            </w14:solidFill>
          </w14:textFill>
        </w:rPr>
        <w:t>回顾201</w:t>
      </w:r>
      <w:r>
        <w:rPr>
          <w:rFonts w:ascii="微软雅黑" w:hAnsi="微软雅黑" w:eastAsia="微软雅黑" w:cstheme="minorEastAsia"/>
          <w:b/>
          <w:bCs/>
          <w:color w:val="000000" w:themeColor="text1"/>
          <w:sz w:val="28"/>
          <w:szCs w:val="28"/>
          <w14:textFill>
            <w14:solidFill>
              <w14:schemeClr w14:val="tx1"/>
            </w14:solidFill>
          </w14:textFill>
        </w:rPr>
        <w:t>9</w:t>
      </w:r>
      <w:r>
        <w:rPr>
          <w:rFonts w:hint="eastAsia" w:ascii="微软雅黑" w:hAnsi="微软雅黑" w:eastAsia="微软雅黑" w:cstheme="minorEastAsia"/>
          <w:b/>
          <w:bCs/>
          <w:color w:val="000000" w:themeColor="text1"/>
          <w:sz w:val="28"/>
          <w:szCs w:val="28"/>
          <w14:textFill>
            <w14:solidFill>
              <w14:schemeClr w14:val="tx1"/>
            </w14:solidFill>
          </w14:textFill>
        </w:rPr>
        <w:t>·CCBD-现场论坛活动，本届展会共计1</w:t>
      </w:r>
      <w:r>
        <w:rPr>
          <w:rFonts w:ascii="微软雅黑" w:hAnsi="微软雅黑" w:eastAsia="微软雅黑" w:cstheme="minorEastAsia"/>
          <w:b/>
          <w:bCs/>
          <w:color w:val="000000" w:themeColor="text1"/>
          <w:sz w:val="28"/>
          <w:szCs w:val="28"/>
          <w14:textFill>
            <w14:solidFill>
              <w14:schemeClr w14:val="tx1"/>
            </w14:solidFill>
          </w14:textFill>
        </w:rPr>
        <w:t>6</w:t>
      </w:r>
      <w:r>
        <w:rPr>
          <w:rFonts w:hint="eastAsia" w:ascii="微软雅黑" w:hAnsi="微软雅黑" w:eastAsia="微软雅黑" w:cstheme="minorEastAsia"/>
          <w:b/>
          <w:bCs/>
          <w:color w:val="000000" w:themeColor="text1"/>
          <w:sz w:val="28"/>
          <w:szCs w:val="28"/>
          <w14:textFill>
            <w14:solidFill>
              <w14:schemeClr w14:val="tx1"/>
            </w14:solidFill>
          </w14:textFill>
        </w:rPr>
        <w:t>场论坛活动</w:t>
      </w:r>
    </w:p>
    <w:p>
      <w:pPr>
        <w:widowControl/>
        <w:snapToGrid w:val="0"/>
        <w:spacing w:before="156" w:beforeLines="50"/>
        <w:jc w:val="left"/>
        <w:rPr>
          <w:rFonts w:ascii="微软雅黑" w:hAnsi="微软雅黑" w:eastAsia="微软雅黑" w:cstheme="minorEastAsia"/>
          <w:b/>
          <w:color w:val="000000" w:themeColor="text1"/>
          <w:sz w:val="24"/>
          <w:szCs w:val="24"/>
          <w14:textFill>
            <w14:solidFill>
              <w14:schemeClr w14:val="tx1"/>
            </w14:solidFill>
          </w14:textFill>
        </w:rPr>
      </w:pPr>
      <w:bookmarkStart w:id="23" w:name="OLE_LINK18"/>
      <w:r>
        <w:rPr>
          <w:rFonts w:hint="eastAsia" w:ascii="微软雅黑" w:hAnsi="微软雅黑" w:eastAsia="微软雅黑" w:cstheme="minorEastAsia"/>
          <w:b/>
          <w:color w:val="000000" w:themeColor="text1"/>
          <w:sz w:val="24"/>
          <w:szCs w:val="24"/>
          <w14:textFill>
            <w14:solidFill>
              <w14:schemeClr w14:val="tx1"/>
            </w14:solidFill>
          </w14:textFill>
        </w:rPr>
        <w:t>鲲鹏奖·第二届中国室内设计大赛颁奖典礼暨“设计力量’高峰论坛</w:t>
      </w:r>
    </w:p>
    <w:p>
      <w:pPr>
        <w:spacing w:line="400" w:lineRule="exact"/>
        <w:jc w:val="left"/>
        <w:rPr>
          <w:rFonts w:ascii="微软雅黑" w:hAnsi="微软雅黑" w:eastAsia="微软雅黑"/>
          <w:sz w:val="24"/>
          <w:szCs w:val="24"/>
        </w:rPr>
      </w:pPr>
      <w:r>
        <w:rPr>
          <w:rFonts w:hint="eastAsia" w:ascii="微软雅黑" w:hAnsi="微软雅黑" w:eastAsia="微软雅黑"/>
          <w:sz w:val="24"/>
          <w:szCs w:val="24"/>
        </w:rPr>
        <w:t>本次大赛中西部八省室内装饰协会联合主办，面向全球征集作品，自去年1</w:t>
      </w:r>
      <w:r>
        <w:rPr>
          <w:rFonts w:ascii="微软雅黑" w:hAnsi="微软雅黑" w:eastAsia="微软雅黑"/>
          <w:sz w:val="24"/>
          <w:szCs w:val="24"/>
        </w:rPr>
        <w:t>2</w:t>
      </w:r>
      <w:r>
        <w:rPr>
          <w:rFonts w:hint="eastAsia" w:ascii="微软雅黑" w:hAnsi="微软雅黑" w:eastAsia="微软雅黑"/>
          <w:sz w:val="24"/>
          <w:szCs w:val="24"/>
        </w:rPr>
        <w:t>月1日启动以来收到全球，收到来自全国7</w:t>
      </w:r>
      <w:r>
        <w:rPr>
          <w:rFonts w:ascii="微软雅黑" w:hAnsi="微软雅黑" w:eastAsia="微软雅黑"/>
          <w:sz w:val="24"/>
          <w:szCs w:val="24"/>
        </w:rPr>
        <w:t>836</w:t>
      </w:r>
      <w:r>
        <w:rPr>
          <w:rFonts w:hint="eastAsia" w:ascii="微软雅黑" w:hAnsi="微软雅黑" w:eastAsia="微软雅黑"/>
          <w:sz w:val="24"/>
          <w:szCs w:val="24"/>
        </w:rPr>
        <w:t>名设计师投稿，共计作品1</w:t>
      </w:r>
      <w:r>
        <w:rPr>
          <w:rFonts w:ascii="微软雅黑" w:hAnsi="微软雅黑" w:eastAsia="微软雅黑"/>
          <w:sz w:val="24"/>
          <w:szCs w:val="24"/>
        </w:rPr>
        <w:t>3552</w:t>
      </w:r>
      <w:r>
        <w:rPr>
          <w:rFonts w:hint="eastAsia" w:ascii="微软雅黑" w:hAnsi="微软雅黑" w:eastAsia="微软雅黑"/>
          <w:sz w:val="24"/>
          <w:szCs w:val="24"/>
        </w:rPr>
        <w:t>件，其中</w:t>
      </w:r>
      <w:r>
        <w:rPr>
          <w:rFonts w:hint="eastAsia" w:ascii="微软雅黑" w:hAnsi="微软雅黑" w:eastAsia="微软雅黑"/>
          <w:spacing w:val="15"/>
          <w:sz w:val="24"/>
          <w:szCs w:val="24"/>
          <w:shd w:val="clear" w:color="auto" w:fill="FFFFFF"/>
        </w:rPr>
        <w:t>香港台湾地区设计师的作品</w:t>
      </w:r>
      <w:r>
        <w:rPr>
          <w:rFonts w:hint="eastAsia" w:ascii="微软雅黑" w:hAnsi="微软雅黑" w:eastAsia="微软雅黑"/>
          <w:color w:val="000000" w:themeColor="text1"/>
          <w:spacing w:val="15"/>
          <w:sz w:val="24"/>
          <w:szCs w:val="24"/>
          <w:shd w:val="clear" w:color="auto" w:fill="FFFFFF"/>
          <w14:textFill>
            <w14:solidFill>
              <w14:schemeClr w14:val="tx1"/>
            </w14:solidFill>
          </w14:textFill>
        </w:rPr>
        <w:t>264</w:t>
      </w:r>
      <w:r>
        <w:rPr>
          <w:rFonts w:hint="eastAsia" w:ascii="微软雅黑" w:hAnsi="微软雅黑" w:eastAsia="微软雅黑"/>
          <w:spacing w:val="15"/>
          <w:sz w:val="24"/>
          <w:szCs w:val="24"/>
          <w:shd w:val="clear" w:color="auto" w:fill="FFFFFF"/>
        </w:rPr>
        <w:t>份。</w:t>
      </w:r>
      <w:r>
        <w:rPr>
          <w:rFonts w:hint="eastAsia" w:ascii="微软雅黑" w:hAnsi="微软雅黑" w:eastAsia="微软雅黑"/>
          <w:sz w:val="24"/>
          <w:szCs w:val="24"/>
        </w:rPr>
        <w:t>5</w:t>
      </w:r>
      <w:r>
        <w:rPr>
          <w:rFonts w:ascii="微软雅黑" w:hAnsi="微软雅黑" w:eastAsia="微软雅黑"/>
          <w:sz w:val="24"/>
          <w:szCs w:val="24"/>
        </w:rPr>
        <w:t>0</w:t>
      </w:r>
      <w:r>
        <w:rPr>
          <w:rFonts w:hint="eastAsia" w:ascii="微软雅黑" w:hAnsi="微软雅黑" w:eastAsia="微软雅黑"/>
          <w:sz w:val="24"/>
          <w:szCs w:val="24"/>
        </w:rPr>
        <w:t>名资深行业专家组成的评委团队，秉着公正、公平、公开性原则，经过初评、复评、终评、公示等多轮评选流程，最终</w:t>
      </w:r>
      <w:r>
        <w:rPr>
          <w:rFonts w:ascii="微软雅黑" w:hAnsi="微软雅黑" w:eastAsia="微软雅黑"/>
          <w:sz w:val="24"/>
          <w:szCs w:val="24"/>
        </w:rPr>
        <w:t>400名获奖者脱颖而出，设计师实力彰显</w:t>
      </w:r>
      <w:r>
        <w:rPr>
          <w:rFonts w:hint="eastAsia" w:ascii="微软雅黑" w:hAnsi="微软雅黑" w:eastAsia="微软雅黑"/>
          <w:sz w:val="24"/>
          <w:szCs w:val="24"/>
        </w:rPr>
        <w:t>，颁奖典礼现场获奖设计师、资深评委、优秀材料商等800余人到场，是中国室内设计影响力最大、最高水准的设计大赛，展会现场还对获奖前128幅作品进行了为期三天的展示！</w:t>
      </w:r>
    </w:p>
    <w:p>
      <w:pPr>
        <w:widowControl/>
        <w:snapToGrid w:val="0"/>
        <w:spacing w:before="156" w:beforeLines="50"/>
        <w:jc w:val="left"/>
        <w:rPr>
          <w:rFonts w:ascii="微软雅黑" w:hAnsi="微软雅黑" w:eastAsia="微软雅黑" w:cstheme="minorEastAsia"/>
          <w:b/>
          <w:color w:val="000000" w:themeColor="text1"/>
          <w:sz w:val="24"/>
          <w:szCs w:val="24"/>
          <w14:textFill>
            <w14:solidFill>
              <w14:schemeClr w14:val="tx1"/>
            </w14:solidFill>
          </w14:textFill>
        </w:rPr>
      </w:pPr>
      <w:r>
        <w:rPr>
          <w:rFonts w:hint="eastAsia" w:ascii="微软雅黑" w:hAnsi="微软雅黑" w:eastAsia="微软雅黑" w:cstheme="minorEastAsia"/>
          <w:b/>
          <w:color w:val="000000" w:themeColor="text1"/>
          <w:sz w:val="24"/>
          <w:szCs w:val="24"/>
          <w14:textFill>
            <w14:solidFill>
              <w14:schemeClr w14:val="tx1"/>
            </w14:solidFill>
          </w14:textFill>
        </w:rPr>
        <w:t>“走进中国交建建设项目”系列活动之成都市简州新城项目供需对接会</w:t>
      </w:r>
    </w:p>
    <w:p>
      <w:pPr>
        <w:widowControl/>
        <w:snapToGrid w:val="0"/>
        <w:spacing w:line="240" w:lineRule="atLeast"/>
        <w:jc w:val="left"/>
        <w:rPr>
          <w:rFonts w:ascii="微软雅黑" w:hAnsi="微软雅黑" w:eastAsia="微软雅黑"/>
          <w:sz w:val="24"/>
          <w:szCs w:val="24"/>
        </w:rPr>
      </w:pPr>
      <w:r>
        <w:rPr>
          <w:rFonts w:hint="eastAsia" w:ascii="微软雅黑" w:hAnsi="微软雅黑" w:eastAsia="微软雅黑"/>
          <w:sz w:val="24"/>
          <w:szCs w:val="24"/>
        </w:rPr>
        <w:t>本次活动吸引了近百家成都市名优企业参与，会议参会人员</w:t>
      </w:r>
      <w:r>
        <w:rPr>
          <w:rFonts w:ascii="微软雅黑" w:hAnsi="微软雅黑" w:eastAsia="微软雅黑"/>
          <w:color w:val="000000" w:themeColor="text1"/>
          <w:sz w:val="24"/>
          <w:szCs w:val="24"/>
          <w14:textFill>
            <w14:solidFill>
              <w14:schemeClr w14:val="tx1"/>
            </w14:solidFill>
          </w14:textFill>
        </w:rPr>
        <w:t>400</w:t>
      </w:r>
      <w:r>
        <w:rPr>
          <w:rFonts w:hint="eastAsia" w:ascii="微软雅黑" w:hAnsi="微软雅黑" w:eastAsia="微软雅黑"/>
          <w:sz w:val="24"/>
          <w:szCs w:val="24"/>
        </w:rPr>
        <w:t>余人，让中国交建更深入了解成都市名优产品，让成都名优产品进入中国交建在蓉建设的大型项目甚至进入中国交建全国乃至全球范围内的项目，帮助我市工业企业在经济下行的形势下开拓了更宽阔的市场，为中西部企业的发展起到推动作用。</w:t>
      </w:r>
    </w:p>
    <w:p>
      <w:pPr>
        <w:widowControl/>
        <w:snapToGrid w:val="0"/>
        <w:spacing w:before="156" w:beforeLines="50"/>
        <w:jc w:val="left"/>
        <w:rPr>
          <w:rFonts w:ascii="微软雅黑" w:hAnsi="微软雅黑" w:eastAsia="微软雅黑" w:cstheme="minorEastAsia"/>
          <w:b/>
          <w:color w:val="000000" w:themeColor="text1"/>
          <w:sz w:val="24"/>
          <w:szCs w:val="24"/>
          <w14:textFill>
            <w14:solidFill>
              <w14:schemeClr w14:val="tx1"/>
            </w14:solidFill>
          </w14:textFill>
        </w:rPr>
      </w:pPr>
      <w:r>
        <w:rPr>
          <w:rFonts w:hint="eastAsia" w:ascii="微软雅黑" w:hAnsi="微软雅黑" w:eastAsia="微软雅黑" w:cstheme="minorEastAsia"/>
          <w:b/>
          <w:color w:val="000000" w:themeColor="text1"/>
          <w:sz w:val="24"/>
          <w:szCs w:val="24"/>
          <w14:textFill>
            <w14:solidFill>
              <w14:schemeClr w14:val="tx1"/>
            </w14:solidFill>
          </w14:textFill>
        </w:rPr>
        <w:t>四川省首届钢结构暨装配式行业发展论坛</w:t>
      </w:r>
    </w:p>
    <w:p>
      <w:pPr>
        <w:widowControl/>
        <w:snapToGrid w:val="0"/>
        <w:jc w:val="left"/>
        <w:rPr>
          <w:rFonts w:ascii="微软雅黑" w:hAnsi="微软雅黑" w:eastAsia="微软雅黑"/>
          <w:color w:val="000000" w:themeColor="text1"/>
          <w:sz w:val="24"/>
          <w:szCs w:val="24"/>
          <w14:textFill>
            <w14:solidFill>
              <w14:schemeClr w14:val="tx1"/>
            </w14:solidFill>
          </w14:textFill>
        </w:rPr>
      </w:pPr>
      <w:r>
        <w:rPr>
          <w:rFonts w:hint="eastAsia" w:ascii="微软雅黑" w:hAnsi="微软雅黑" w:eastAsia="微软雅黑"/>
          <w:sz w:val="24"/>
          <w:szCs w:val="24"/>
        </w:rPr>
        <w:t>由四川省住房和城乡建设厅主办指导，四川省装配式建筑产业协会、四川省装配式钢结构建筑工程技术研究中心主办。本次论坛邀约行业专家、相关政府、协会领导、以及行业相关人士等</w:t>
      </w:r>
      <w:r>
        <w:rPr>
          <w:rFonts w:ascii="微软雅黑" w:hAnsi="微软雅黑" w:eastAsia="微软雅黑"/>
          <w:color w:val="000000" w:themeColor="text1"/>
          <w:sz w:val="24"/>
          <w:szCs w:val="24"/>
          <w14:textFill>
            <w14:solidFill>
              <w14:schemeClr w14:val="tx1"/>
            </w14:solidFill>
          </w14:textFill>
        </w:rPr>
        <w:t>3</w:t>
      </w:r>
      <w:r>
        <w:rPr>
          <w:rFonts w:hint="eastAsia" w:ascii="微软雅黑" w:hAnsi="微软雅黑" w:eastAsia="微软雅黑"/>
          <w:color w:val="000000" w:themeColor="text1"/>
          <w:sz w:val="24"/>
          <w:szCs w:val="24"/>
          <w14:textFill>
            <w14:solidFill>
              <w14:schemeClr w14:val="tx1"/>
            </w14:solidFill>
          </w14:textFill>
        </w:rPr>
        <w:t>00余人共同参与，围绕四川省钢结构行业发展政策、技术创新和发展路径及装配式建筑行业发展进行深度交流研讨，助力了四川省钢结构行业企业的转型提升，推动了行业的健康发展。</w:t>
      </w:r>
    </w:p>
    <w:p>
      <w:pPr>
        <w:widowControl/>
        <w:snapToGrid w:val="0"/>
        <w:spacing w:before="156" w:beforeLines="50"/>
        <w:jc w:val="left"/>
        <w:rPr>
          <w:rFonts w:ascii="微软雅黑" w:hAnsi="微软雅黑" w:eastAsia="微软雅黑" w:cstheme="minorEastAsia"/>
          <w:b/>
          <w:color w:val="000000" w:themeColor="text1"/>
          <w:sz w:val="24"/>
          <w:szCs w:val="24"/>
          <w14:textFill>
            <w14:solidFill>
              <w14:schemeClr w14:val="tx1"/>
            </w14:solidFill>
          </w14:textFill>
        </w:rPr>
      </w:pPr>
      <w:r>
        <w:rPr>
          <w:rFonts w:hint="eastAsia" w:ascii="微软雅黑" w:hAnsi="微软雅黑" w:eastAsia="微软雅黑" w:cstheme="minorEastAsia"/>
          <w:b/>
          <w:color w:val="000000" w:themeColor="text1"/>
          <w:sz w:val="24"/>
          <w:szCs w:val="24"/>
          <w14:textFill>
            <w14:solidFill>
              <w14:schemeClr w14:val="tx1"/>
            </w14:solidFill>
          </w14:textFill>
        </w:rPr>
        <w:t>2019中国西部绿色建筑节能新材料、新技术产品应用论坛</w:t>
      </w:r>
    </w:p>
    <w:p>
      <w:pPr>
        <w:widowControl/>
        <w:snapToGrid w:val="0"/>
        <w:jc w:val="left"/>
        <w:rPr>
          <w:rFonts w:ascii="微软雅黑" w:hAnsi="微软雅黑" w:eastAsia="微软雅黑"/>
          <w:color w:val="000000" w:themeColor="text1"/>
          <w:sz w:val="24"/>
          <w:szCs w:val="24"/>
          <w14:textFill>
            <w14:solidFill>
              <w14:schemeClr w14:val="tx1"/>
            </w14:solidFill>
          </w14:textFill>
        </w:rPr>
      </w:pPr>
      <w:r>
        <w:rPr>
          <w:rFonts w:hint="eastAsia" w:ascii="微软雅黑" w:hAnsi="微软雅黑" w:eastAsia="微软雅黑"/>
          <w:color w:val="000000" w:themeColor="text1"/>
          <w:sz w:val="24"/>
          <w:szCs w:val="24"/>
          <w14:textFill>
            <w14:solidFill>
              <w14:schemeClr w14:val="tx1"/>
            </w14:solidFill>
          </w14:textFill>
        </w:rPr>
        <w:t>本次论坛从建筑节能出发，通过国家部委文件标准解读，省市实地具体问题分析，结合新材料发展应用趋势讨论，重点针对当前政府主抓、全国行业热议的“绿色建筑”展开对话，邀请一线行业标准主编专家、施工应用技术总工、名优创新高精企业齐聚一堂，共话行业发展未来新方向。</w:t>
      </w:r>
    </w:p>
    <w:p>
      <w:pPr>
        <w:widowControl/>
        <w:snapToGrid w:val="0"/>
        <w:spacing w:before="156" w:beforeLines="50"/>
        <w:jc w:val="left"/>
        <w:rPr>
          <w:rFonts w:ascii="微软雅黑" w:hAnsi="微软雅黑" w:eastAsia="微软雅黑" w:cstheme="minorEastAsia"/>
          <w:b/>
          <w:color w:val="000000" w:themeColor="text1"/>
          <w:sz w:val="24"/>
          <w:szCs w:val="24"/>
          <w14:textFill>
            <w14:solidFill>
              <w14:schemeClr w14:val="tx1"/>
            </w14:solidFill>
          </w14:textFill>
        </w:rPr>
      </w:pPr>
      <w:r>
        <w:rPr>
          <w:rFonts w:hint="eastAsia" w:ascii="微软雅黑" w:hAnsi="微软雅黑" w:eastAsia="微软雅黑" w:cstheme="minorEastAsia"/>
          <w:b/>
          <w:color w:val="000000" w:themeColor="text1"/>
          <w:sz w:val="24"/>
          <w:szCs w:val="24"/>
          <w14:textFill>
            <w14:solidFill>
              <w14:schemeClr w14:val="tx1"/>
            </w14:solidFill>
          </w14:textFill>
        </w:rPr>
        <w:t>2019成都建博会一对一商贸配对会</w:t>
      </w:r>
    </w:p>
    <w:p>
      <w:pPr>
        <w:widowControl/>
        <w:snapToGrid w:val="0"/>
        <w:jc w:val="left"/>
        <w:rPr>
          <w:rFonts w:ascii="微软雅黑" w:hAnsi="微软雅黑" w:eastAsia="微软雅黑"/>
          <w:sz w:val="24"/>
          <w:szCs w:val="24"/>
        </w:rPr>
      </w:pPr>
      <w:r>
        <w:rPr>
          <w:rFonts w:hint="eastAsia" w:ascii="微软雅黑" w:hAnsi="微软雅黑" w:eastAsia="微软雅黑"/>
          <w:color w:val="000000" w:themeColor="text1"/>
          <w:sz w:val="24"/>
          <w:szCs w:val="24"/>
          <w14:textFill>
            <w14:solidFill>
              <w14:schemeClr w14:val="tx1"/>
            </w14:solidFill>
          </w14:textFill>
        </w:rPr>
        <w:t>本次活动作为2</w:t>
      </w:r>
      <w:r>
        <w:rPr>
          <w:rFonts w:ascii="微软雅黑" w:hAnsi="微软雅黑" w:eastAsia="微软雅黑"/>
          <w:color w:val="000000" w:themeColor="text1"/>
          <w:sz w:val="24"/>
          <w:szCs w:val="24"/>
          <w14:textFill>
            <w14:solidFill>
              <w14:schemeClr w14:val="tx1"/>
            </w14:solidFill>
          </w14:textFill>
        </w:rPr>
        <w:t>019</w:t>
      </w:r>
      <w:r>
        <w:rPr>
          <w:rFonts w:hint="eastAsia" w:ascii="微软雅黑" w:hAnsi="微软雅黑" w:eastAsia="微软雅黑"/>
          <w:color w:val="000000" w:themeColor="text1"/>
          <w:sz w:val="24"/>
          <w:szCs w:val="24"/>
          <w14:textFill>
            <w14:solidFill>
              <w14:schemeClr w14:val="tx1"/>
            </w14:solidFill>
          </w14:textFill>
        </w:rPr>
        <w:t>成都建博会展会为VIP采购商提供的全新升级服务， 首次举办完美收官，两天时间参与活动的采购需方企业包括房地产商、工程公司、设计院所、经销代理商等达</w:t>
      </w:r>
      <w:r>
        <w:rPr>
          <w:rFonts w:ascii="微软雅黑" w:hAnsi="微软雅黑" w:eastAsia="微软雅黑"/>
          <w:color w:val="000000" w:themeColor="text1"/>
          <w:sz w:val="24"/>
          <w:szCs w:val="24"/>
          <w14:textFill>
            <w14:solidFill>
              <w14:schemeClr w14:val="tx1"/>
            </w14:solidFill>
          </w14:textFill>
        </w:rPr>
        <w:t>286</w:t>
      </w:r>
      <w:r>
        <w:rPr>
          <w:rFonts w:hint="eastAsia" w:ascii="微软雅黑" w:hAnsi="微软雅黑" w:eastAsia="微软雅黑"/>
          <w:color w:val="000000" w:themeColor="text1"/>
          <w:sz w:val="24"/>
          <w:szCs w:val="24"/>
          <w14:textFill>
            <w14:solidFill>
              <w14:schemeClr w14:val="tx1"/>
            </w14:solidFill>
          </w14:textFill>
        </w:rPr>
        <w:t>家，与展会现场参</w:t>
      </w:r>
      <w:r>
        <w:rPr>
          <w:rFonts w:hint="eastAsia" w:ascii="微软雅黑" w:hAnsi="微软雅黑" w:eastAsia="微软雅黑"/>
          <w:sz w:val="24"/>
          <w:szCs w:val="24"/>
        </w:rPr>
        <w:t>展商面对面深入交流后达成了初步的合作，预估产生的间接直接效益近1</w:t>
      </w:r>
      <w:r>
        <w:rPr>
          <w:rFonts w:ascii="微软雅黑" w:hAnsi="微软雅黑" w:eastAsia="微软雅黑"/>
          <w:sz w:val="24"/>
          <w:szCs w:val="24"/>
        </w:rPr>
        <w:t>3</w:t>
      </w:r>
      <w:r>
        <w:rPr>
          <w:rFonts w:hint="eastAsia" w:ascii="微软雅黑" w:hAnsi="微软雅黑" w:eastAsia="微软雅黑"/>
          <w:sz w:val="24"/>
          <w:szCs w:val="24"/>
        </w:rPr>
        <w:t>亿元。</w:t>
      </w:r>
    </w:p>
    <w:bookmarkEnd w:id="23"/>
    <w:p>
      <w:pPr>
        <w:widowControl/>
        <w:snapToGrid w:val="0"/>
        <w:spacing w:before="156" w:beforeLines="50"/>
        <w:jc w:val="left"/>
        <w:rPr>
          <w:rFonts w:ascii="微软雅黑" w:hAnsi="微软雅黑" w:eastAsia="微软雅黑"/>
          <w:b/>
          <w:sz w:val="24"/>
          <w:szCs w:val="24"/>
        </w:rPr>
      </w:pPr>
      <w:r>
        <w:rPr>
          <w:rFonts w:hint="eastAsia" w:ascii="微软雅黑" w:hAnsi="微软雅黑" w:eastAsia="微软雅黑"/>
          <w:b/>
          <w:sz w:val="24"/>
          <w:szCs w:val="24"/>
        </w:rPr>
        <w:t>2019地坪行业最新进展（成都）高峰论坛</w:t>
      </w:r>
    </w:p>
    <w:p>
      <w:pPr>
        <w:widowControl/>
        <w:snapToGrid w:val="0"/>
        <w:jc w:val="left"/>
        <w:rPr>
          <w:rFonts w:ascii="微软雅黑" w:hAnsi="微软雅黑" w:eastAsia="微软雅黑"/>
          <w:b/>
          <w:sz w:val="24"/>
          <w:szCs w:val="24"/>
        </w:rPr>
      </w:pPr>
      <w:r>
        <w:rPr>
          <w:rFonts w:hint="eastAsia" w:ascii="微软雅黑" w:hAnsi="微软雅黑" w:eastAsia="微软雅黑"/>
          <w:b/>
          <w:sz w:val="24"/>
          <w:szCs w:val="24"/>
        </w:rPr>
        <w:t>2019中国西部“生态园林·科技创新”论坛</w:t>
      </w:r>
    </w:p>
    <w:p>
      <w:pPr>
        <w:widowControl/>
        <w:snapToGrid w:val="0"/>
        <w:jc w:val="left"/>
        <w:rPr>
          <w:rFonts w:ascii="微软雅黑" w:hAnsi="微软雅黑" w:eastAsia="微软雅黑"/>
          <w:b/>
          <w:sz w:val="24"/>
          <w:szCs w:val="24"/>
        </w:rPr>
      </w:pPr>
      <w:r>
        <w:rPr>
          <w:rFonts w:hint="eastAsia" w:ascii="微软雅黑" w:hAnsi="微软雅黑" w:eastAsia="微软雅黑"/>
          <w:b/>
          <w:sz w:val="24"/>
          <w:szCs w:val="24"/>
        </w:rPr>
        <w:t>2019建材家居智慧化营销升级峰会暨“定制TOP100·全国行”启动发布会</w:t>
      </w:r>
    </w:p>
    <w:p>
      <w:pPr>
        <w:widowControl/>
        <w:snapToGrid w:val="0"/>
        <w:jc w:val="left"/>
        <w:rPr>
          <w:rFonts w:ascii="微软雅黑" w:hAnsi="微软雅黑" w:eastAsia="微软雅黑"/>
          <w:b/>
          <w:sz w:val="24"/>
          <w:szCs w:val="24"/>
        </w:rPr>
      </w:pPr>
      <w:r>
        <w:rPr>
          <w:rFonts w:hint="eastAsia" w:ascii="微软雅黑" w:hAnsi="微软雅黑" w:eastAsia="微软雅黑"/>
          <w:b/>
          <w:sz w:val="24"/>
          <w:szCs w:val="24"/>
        </w:rPr>
        <w:t>2019年四川省建筑门窗幕墙行业发展高峰论坛</w:t>
      </w:r>
    </w:p>
    <w:p>
      <w:pPr>
        <w:widowControl/>
        <w:snapToGrid w:val="0"/>
        <w:jc w:val="left"/>
        <w:rPr>
          <w:rFonts w:ascii="微软雅黑" w:hAnsi="微软雅黑" w:eastAsia="微软雅黑"/>
          <w:b/>
          <w:sz w:val="24"/>
          <w:szCs w:val="24"/>
        </w:rPr>
      </w:pPr>
      <w:r>
        <w:rPr>
          <w:rFonts w:hint="eastAsia" w:ascii="微软雅黑" w:hAnsi="微软雅黑" w:eastAsia="微软雅黑"/>
          <w:b/>
          <w:sz w:val="24"/>
          <w:szCs w:val="24"/>
        </w:rPr>
        <w:t>2019年四川省装配式建筑产业协会年会</w:t>
      </w:r>
    </w:p>
    <w:p>
      <w:pPr>
        <w:widowControl/>
        <w:snapToGrid w:val="0"/>
        <w:jc w:val="left"/>
        <w:rPr>
          <w:rFonts w:ascii="微软雅黑" w:hAnsi="微软雅黑" w:eastAsia="微软雅黑"/>
          <w:b/>
          <w:sz w:val="24"/>
          <w:szCs w:val="24"/>
        </w:rPr>
      </w:pPr>
      <w:r>
        <w:rPr>
          <w:rFonts w:hint="eastAsia" w:ascii="微软雅黑" w:hAnsi="微软雅黑" w:eastAsia="微软雅黑"/>
          <w:b/>
          <w:sz w:val="24"/>
          <w:szCs w:val="24"/>
        </w:rPr>
        <w:t>2019润涛门窗互联网新零售新变革新思维新工具运用分享会</w:t>
      </w:r>
    </w:p>
    <w:p>
      <w:pPr>
        <w:widowControl/>
        <w:snapToGrid w:val="0"/>
        <w:jc w:val="left"/>
        <w:rPr>
          <w:rFonts w:ascii="微软雅黑" w:hAnsi="微软雅黑" w:eastAsia="微软雅黑"/>
          <w:b/>
          <w:sz w:val="24"/>
          <w:szCs w:val="24"/>
        </w:rPr>
      </w:pPr>
      <w:r>
        <w:rPr>
          <w:rFonts w:hint="eastAsia" w:ascii="微软雅黑" w:hAnsi="微软雅黑" w:eastAsia="微软雅黑"/>
          <w:b/>
          <w:sz w:val="24"/>
          <w:szCs w:val="24"/>
        </w:rPr>
        <w:t>2</w:t>
      </w:r>
      <w:r>
        <w:rPr>
          <w:rFonts w:ascii="微软雅黑" w:hAnsi="微软雅黑" w:eastAsia="微软雅黑"/>
          <w:b/>
          <w:sz w:val="24"/>
          <w:szCs w:val="24"/>
        </w:rPr>
        <w:t>019</w:t>
      </w:r>
      <w:r>
        <w:rPr>
          <w:rFonts w:hint="eastAsia" w:ascii="微软雅黑" w:hAnsi="微软雅黑" w:eastAsia="微软雅黑"/>
          <w:b/>
          <w:sz w:val="24"/>
          <w:szCs w:val="24"/>
        </w:rPr>
        <w:t>成都</w:t>
      </w:r>
      <w:r>
        <w:rPr>
          <w:rFonts w:hint="eastAsia" w:ascii="微软雅黑" w:hAnsi="微软雅黑" w:eastAsia="微软雅黑"/>
          <w:b/>
          <w:color w:val="000000" w:themeColor="text1"/>
          <w:sz w:val="24"/>
          <w:szCs w:val="24"/>
          <w14:textFill>
            <w14:solidFill>
              <w14:schemeClr w14:val="tx1"/>
            </w14:solidFill>
          </w14:textFill>
        </w:rPr>
        <w:t>厚意</w:t>
      </w:r>
      <w:r>
        <w:rPr>
          <w:rFonts w:hint="eastAsia" w:ascii="微软雅黑" w:hAnsi="微软雅黑" w:eastAsia="微软雅黑"/>
          <w:b/>
          <w:sz w:val="24"/>
          <w:szCs w:val="24"/>
        </w:rPr>
        <w:t>科技“维他森氧板”产品说明会</w:t>
      </w:r>
    </w:p>
    <w:p>
      <w:pPr>
        <w:widowControl/>
        <w:snapToGrid w:val="0"/>
        <w:jc w:val="left"/>
        <w:rPr>
          <w:rFonts w:ascii="微软雅黑" w:hAnsi="微软雅黑" w:eastAsia="微软雅黑"/>
          <w:b/>
          <w:sz w:val="24"/>
          <w:szCs w:val="24"/>
        </w:rPr>
      </w:pPr>
      <w:r>
        <w:rPr>
          <w:rFonts w:ascii="微软雅黑" w:hAnsi="微软雅黑" w:eastAsia="微软雅黑"/>
          <w:b/>
          <w:sz w:val="24"/>
          <w:szCs w:val="24"/>
        </w:rPr>
        <w:t>2019</w:t>
      </w:r>
      <w:r>
        <w:rPr>
          <w:rFonts w:hint="eastAsia" w:ascii="微软雅黑" w:hAnsi="微软雅黑" w:eastAsia="微软雅黑"/>
          <w:b/>
          <w:sz w:val="24"/>
          <w:szCs w:val="24"/>
        </w:rPr>
        <w:t>中国西部建材家居行业“互联网+”交流大会</w:t>
      </w:r>
    </w:p>
    <w:p>
      <w:pPr>
        <w:widowControl/>
        <w:snapToGrid w:val="0"/>
        <w:jc w:val="left"/>
        <w:rPr>
          <w:rFonts w:ascii="微软雅黑" w:hAnsi="微软雅黑" w:eastAsia="微软雅黑"/>
          <w:b/>
          <w:sz w:val="24"/>
          <w:szCs w:val="24"/>
        </w:rPr>
      </w:pPr>
      <w:r>
        <w:rPr>
          <w:rFonts w:ascii="微软雅黑" w:hAnsi="微软雅黑" w:eastAsia="微软雅黑"/>
          <w:b/>
          <w:sz w:val="24"/>
          <w:szCs w:val="24"/>
        </w:rPr>
        <w:t>2019</w:t>
      </w:r>
      <w:r>
        <w:rPr>
          <w:rFonts w:hint="eastAsia" w:ascii="微软雅黑" w:hAnsi="微软雅黑" w:eastAsia="微软雅黑"/>
          <w:b/>
          <w:sz w:val="24"/>
          <w:szCs w:val="24"/>
        </w:rPr>
        <w:t>未来智能化商业沙龙（成都站）</w:t>
      </w:r>
    </w:p>
    <w:p>
      <w:pPr>
        <w:widowControl/>
        <w:snapToGrid w:val="0"/>
        <w:jc w:val="left"/>
        <w:rPr>
          <w:rFonts w:ascii="微软雅黑" w:hAnsi="微软雅黑" w:eastAsia="微软雅黑"/>
          <w:b/>
          <w:sz w:val="24"/>
          <w:szCs w:val="24"/>
        </w:rPr>
      </w:pPr>
      <w:r>
        <w:rPr>
          <w:rFonts w:hint="eastAsia" w:ascii="微软雅黑" w:hAnsi="微软雅黑" w:eastAsia="微软雅黑"/>
          <w:b/>
          <w:sz w:val="24"/>
          <w:szCs w:val="24"/>
        </w:rPr>
        <w:t>2019室内设计重点突破与发展论坛</w:t>
      </w:r>
    </w:p>
    <w:p>
      <w:pPr>
        <w:widowControl/>
        <w:snapToGrid w:val="0"/>
        <w:jc w:val="left"/>
        <w:rPr>
          <w:rFonts w:ascii="微软雅黑" w:hAnsi="微软雅黑" w:eastAsia="微软雅黑"/>
          <w:b/>
          <w:sz w:val="24"/>
          <w:szCs w:val="24"/>
        </w:rPr>
      </w:pPr>
      <w:r>
        <w:rPr>
          <w:rFonts w:hint="eastAsia" w:ascii="微软雅黑" w:hAnsi="微软雅黑" w:eastAsia="微软雅黑"/>
          <w:b/>
          <w:sz w:val="24"/>
          <w:szCs w:val="24"/>
        </w:rPr>
        <w:t>2</w:t>
      </w:r>
      <w:r>
        <w:rPr>
          <w:rFonts w:ascii="微软雅黑" w:hAnsi="微软雅黑" w:eastAsia="微软雅黑"/>
          <w:b/>
          <w:sz w:val="24"/>
          <w:szCs w:val="24"/>
        </w:rPr>
        <w:t>019</w:t>
      </w:r>
      <w:r>
        <w:rPr>
          <w:rFonts w:hint="eastAsia" w:ascii="微软雅黑" w:hAnsi="微软雅黑" w:eastAsia="微软雅黑"/>
          <w:b/>
          <w:sz w:val="24"/>
          <w:szCs w:val="24"/>
        </w:rPr>
        <w:t>鲲鹏奖.第二届中国室内设计大赛作品展示</w:t>
      </w:r>
    </w:p>
    <w:p>
      <w:pPr>
        <w:widowControl/>
        <w:spacing w:before="156" w:beforeLines="50" w:after="156" w:afterLines="50"/>
        <w:jc w:val="left"/>
        <w:rPr>
          <w:rFonts w:ascii="微软雅黑" w:hAnsi="微软雅黑" w:eastAsia="微软雅黑" w:cstheme="minorEastAsia"/>
          <w:b/>
          <w:color w:val="000000" w:themeColor="text1"/>
          <w:kern w:val="0"/>
          <w:sz w:val="24"/>
          <w:szCs w:val="24"/>
          <w14:textFill>
            <w14:solidFill>
              <w14:schemeClr w14:val="tx1"/>
            </w14:solidFill>
          </w14:textFill>
        </w:rPr>
      </w:pPr>
      <w:r>
        <w:rPr>
          <w:rFonts w:hint="eastAsia" w:ascii="微软雅黑" w:hAnsi="微软雅黑" w:eastAsia="微软雅黑" w:cstheme="minorEastAsia"/>
          <w:b/>
          <w:color w:val="000000" w:themeColor="text1"/>
          <w:kern w:val="0"/>
          <w:sz w:val="24"/>
          <w:szCs w:val="24"/>
          <w14:textFill>
            <w14:solidFill>
              <w14:schemeClr w14:val="tx1"/>
            </w14:solidFill>
          </w14:textFill>
        </w:rPr>
        <w:t>联系方式</w:t>
      </w:r>
    </w:p>
    <w:p>
      <w:pPr>
        <w:snapToGrid w:val="0"/>
        <w:rPr>
          <w:rFonts w:ascii="微软雅黑" w:hAnsi="微软雅黑" w:eastAsia="微软雅黑" w:cstheme="minorEastAsia"/>
          <w:color w:val="000000" w:themeColor="text1"/>
          <w:kern w:val="0"/>
          <w:sz w:val="24"/>
          <w:szCs w:val="24"/>
          <w14:textFill>
            <w14:solidFill>
              <w14:schemeClr w14:val="tx1"/>
            </w14:solidFill>
          </w14:textFill>
        </w:rPr>
      </w:pPr>
      <w:r>
        <w:rPr>
          <w:rFonts w:hint="eastAsia" w:ascii="微软雅黑" w:hAnsi="微软雅黑" w:eastAsia="微软雅黑" w:cstheme="minorEastAsia"/>
          <w:color w:val="000000" w:themeColor="text1"/>
          <w:kern w:val="0"/>
          <w:sz w:val="24"/>
          <w:szCs w:val="24"/>
          <w14:textFill>
            <w14:solidFill>
              <w14:schemeClr w14:val="tx1"/>
            </w14:solidFill>
          </w14:textFill>
        </w:rPr>
        <w:t>英富曼天一展览（成都）有限公司</w:t>
      </w:r>
    </w:p>
    <w:p>
      <w:pPr>
        <w:snapToGrid w:val="0"/>
        <w:rPr>
          <w:rFonts w:ascii="微软雅黑" w:hAnsi="微软雅黑" w:eastAsia="微软雅黑" w:cstheme="minorEastAsia"/>
          <w:color w:val="000000" w:themeColor="text1"/>
          <w:kern w:val="0"/>
          <w:sz w:val="24"/>
          <w:szCs w:val="24"/>
          <w14:textFill>
            <w14:solidFill>
              <w14:schemeClr w14:val="tx1"/>
            </w14:solidFill>
          </w14:textFill>
        </w:rPr>
      </w:pPr>
      <w:r>
        <w:rPr>
          <w:rFonts w:hint="eastAsia" w:ascii="微软雅黑" w:hAnsi="微软雅黑" w:eastAsia="微软雅黑" w:cstheme="minorEastAsia"/>
          <w:color w:val="000000" w:themeColor="text1"/>
          <w:kern w:val="0"/>
          <w:sz w:val="24"/>
          <w:szCs w:val="24"/>
          <w14:textFill>
            <w14:solidFill>
              <w14:schemeClr w14:val="tx1"/>
            </w14:solidFill>
          </w14:textFill>
        </w:rPr>
        <w:t>地址：成都市人民南路四段19号威斯</w:t>
      </w:r>
    </w:p>
    <w:p>
      <w:pPr>
        <w:snapToGrid w:val="0"/>
        <w:ind w:firstLine="720" w:firstLineChars="300"/>
        <w:rPr>
          <w:rFonts w:ascii="微软雅黑" w:hAnsi="微软雅黑" w:eastAsia="微软雅黑" w:cstheme="minorEastAsia"/>
          <w:color w:val="000000" w:themeColor="text1"/>
          <w:kern w:val="0"/>
          <w:sz w:val="24"/>
          <w:szCs w:val="24"/>
          <w14:textFill>
            <w14:solidFill>
              <w14:schemeClr w14:val="tx1"/>
            </w14:solidFill>
          </w14:textFill>
        </w:rPr>
      </w:pPr>
      <w:r>
        <w:rPr>
          <w:rFonts w:hint="eastAsia" w:ascii="微软雅黑" w:hAnsi="微软雅黑" w:eastAsia="微软雅黑" w:cstheme="minorEastAsia"/>
          <w:color w:val="000000" w:themeColor="text1"/>
          <w:kern w:val="0"/>
          <w:sz w:val="24"/>
          <w:szCs w:val="24"/>
          <w14:textFill>
            <w14:solidFill>
              <w14:schemeClr w14:val="tx1"/>
            </w14:solidFill>
          </w14:textFill>
        </w:rPr>
        <w:t>顿联邦大厦1022号</w:t>
      </w:r>
    </w:p>
    <w:p>
      <w:pPr>
        <w:snapToGrid w:val="0"/>
        <w:rPr>
          <w:rFonts w:ascii="微软雅黑" w:hAnsi="微软雅黑" w:eastAsia="微软雅黑" w:cstheme="minorEastAsia"/>
          <w:color w:val="000000" w:themeColor="text1"/>
          <w:kern w:val="0"/>
          <w:sz w:val="24"/>
          <w:szCs w:val="24"/>
          <w14:textFill>
            <w14:solidFill>
              <w14:schemeClr w14:val="tx1"/>
            </w14:solidFill>
          </w14:textFill>
        </w:rPr>
      </w:pPr>
      <w:r>
        <w:rPr>
          <w:rFonts w:hint="eastAsia" w:ascii="微软雅黑" w:hAnsi="微软雅黑" w:eastAsia="微软雅黑" w:cstheme="minorEastAsia"/>
          <w:color w:val="000000" w:themeColor="text1"/>
          <w:kern w:val="0"/>
          <w:sz w:val="24"/>
          <w:szCs w:val="24"/>
          <w14:textFill>
            <w14:solidFill>
              <w14:schemeClr w14:val="tx1"/>
            </w14:solidFill>
          </w14:textFill>
        </w:rPr>
        <w:t xml:space="preserve">网址：www.cdjbh.cn         </w:t>
      </w:r>
    </w:p>
    <w:p>
      <w:pPr>
        <w:snapToGrid w:val="0"/>
        <w:rPr>
          <w:rFonts w:hint="eastAsia" w:ascii="微软雅黑" w:hAnsi="微软雅黑" w:eastAsia="微软雅黑" w:cstheme="minorEastAsia"/>
          <w:color w:val="000000" w:themeColor="text1"/>
          <w:kern w:val="0"/>
          <w:sz w:val="24"/>
          <w:szCs w:val="24"/>
          <w:lang w:val="en-US" w:eastAsia="zh-CN"/>
          <w14:textFill>
            <w14:solidFill>
              <w14:schemeClr w14:val="tx1"/>
            </w14:solidFill>
          </w14:textFill>
        </w:rPr>
      </w:pPr>
      <w:r>
        <w:rPr>
          <w:rFonts w:hint="eastAsia" w:ascii="微软雅黑" w:hAnsi="微软雅黑" w:eastAsia="微软雅黑" w:cstheme="minorEastAsia"/>
          <w:color w:val="000000" w:themeColor="text1"/>
          <w:kern w:val="0"/>
          <w:sz w:val="24"/>
          <w:szCs w:val="24"/>
          <w14:textFill>
            <w14:solidFill>
              <w14:schemeClr w14:val="tx1"/>
            </w14:solidFill>
          </w14:textFill>
        </w:rPr>
        <w:t>电话：028-</w:t>
      </w:r>
      <w:r>
        <w:rPr>
          <w:rFonts w:hint="eastAsia" w:ascii="微软雅黑" w:hAnsi="微软雅黑" w:eastAsia="微软雅黑" w:cstheme="minorEastAsia"/>
          <w:color w:val="000000" w:themeColor="text1"/>
          <w:kern w:val="0"/>
          <w:sz w:val="24"/>
          <w:szCs w:val="24"/>
          <w:lang w:val="en-US" w:eastAsia="zh-CN"/>
          <w14:textFill>
            <w14:solidFill>
              <w14:schemeClr w14:val="tx1"/>
            </w14:solidFill>
          </w14:textFill>
        </w:rPr>
        <w:t>68300084</w:t>
      </w:r>
    </w:p>
    <w:p>
      <w:pPr>
        <w:snapToGrid w:val="0"/>
        <w:rPr>
          <w:rFonts w:hint="default" w:ascii="微软雅黑" w:hAnsi="微软雅黑" w:eastAsia="微软雅黑" w:cstheme="minorEastAsia"/>
          <w:color w:val="000000" w:themeColor="text1"/>
          <w:kern w:val="0"/>
          <w:sz w:val="24"/>
          <w:szCs w:val="24"/>
          <w:lang w:val="en-US" w:eastAsia="zh-CN"/>
          <w14:textFill>
            <w14:solidFill>
              <w14:schemeClr w14:val="tx1"/>
            </w14:solidFill>
          </w14:textFill>
        </w:rPr>
      </w:pPr>
      <w:r>
        <w:rPr>
          <w:rFonts w:hint="eastAsia" w:ascii="微软雅黑" w:hAnsi="微软雅黑" w:eastAsia="微软雅黑" w:cstheme="minorEastAsia"/>
          <w:color w:val="000000" w:themeColor="text1"/>
          <w:kern w:val="0"/>
          <w:sz w:val="24"/>
          <w:szCs w:val="24"/>
          <w:lang w:val="en-US" w:eastAsia="zh-CN"/>
          <w14:textFill>
            <w14:solidFill>
              <w14:schemeClr w14:val="tx1"/>
            </w14:solidFill>
          </w14:textFill>
        </w:rPr>
        <w:t>QQ;125805650（微信同号）</w:t>
      </w:r>
    </w:p>
    <w:p>
      <w:pPr>
        <w:snapToGrid w:val="0"/>
        <w:jc w:val="left"/>
        <w:rPr>
          <w:rFonts w:ascii="微软雅黑" w:hAnsi="微软雅黑" w:eastAsia="微软雅黑" w:cstheme="minorEastAsia"/>
          <w:color w:val="000000" w:themeColor="text1"/>
          <w:sz w:val="24"/>
          <w:szCs w:val="24"/>
          <w14:textFill>
            <w14:solidFill>
              <w14:schemeClr w14:val="tx1"/>
            </w14:solidFill>
          </w14:textFill>
        </w:rPr>
      </w:pPr>
      <w:r>
        <w:rPr>
          <w:rFonts w:hint="eastAsia" w:ascii="微软雅黑" w:hAnsi="微软雅黑" w:eastAsia="微软雅黑" w:cstheme="minorEastAsia"/>
          <w:color w:val="000000" w:themeColor="text1"/>
          <w:kern w:val="0"/>
          <w:sz w:val="24"/>
          <w:szCs w:val="24"/>
          <w14:textFill>
            <w14:solidFill>
              <w14:schemeClr w14:val="tx1"/>
            </w14:solidFill>
          </w14:textFill>
        </w:rPr>
        <w:t xml:space="preserve">联系人： </w:t>
      </w:r>
      <w:r>
        <w:rPr>
          <w:rFonts w:ascii="微软雅黑" w:hAnsi="微软雅黑" w:eastAsia="微软雅黑" w:cstheme="minorEastAsia"/>
          <w:color w:val="000000" w:themeColor="text1"/>
          <w:kern w:val="0"/>
          <w:sz w:val="24"/>
          <w:szCs w:val="24"/>
          <w14:textFill>
            <w14:solidFill>
              <w14:schemeClr w14:val="tx1"/>
            </w14:solidFill>
          </w14:textFill>
        </w:rPr>
        <w:t xml:space="preserve"> </w:t>
      </w:r>
      <w:r>
        <w:rPr>
          <w:rFonts w:hint="eastAsia" w:ascii="微软雅黑" w:hAnsi="微软雅黑" w:eastAsia="微软雅黑" w:cstheme="minorEastAsia"/>
          <w:color w:val="000000" w:themeColor="text1"/>
          <w:kern w:val="0"/>
          <w:sz w:val="24"/>
          <w:szCs w:val="24"/>
          <w:lang w:eastAsia="zh-CN"/>
          <w14:textFill>
            <w14:solidFill>
              <w14:schemeClr w14:val="tx1"/>
            </w14:solidFill>
          </w14:textFill>
        </w:rPr>
        <w:t>杨太平</w:t>
      </w:r>
      <w:r>
        <w:rPr>
          <w:rFonts w:hint="eastAsia" w:ascii="微软雅黑" w:hAnsi="微软雅黑" w:eastAsia="微软雅黑" w:cstheme="minorEastAsia"/>
          <w:color w:val="000000" w:themeColor="text1"/>
          <w:kern w:val="0"/>
          <w:sz w:val="24"/>
          <w:szCs w:val="24"/>
          <w:lang w:val="en-US" w:eastAsia="zh-CN"/>
          <w14:textFill>
            <w14:solidFill>
              <w14:schemeClr w14:val="tx1"/>
            </w14:solidFill>
          </w14:textFill>
        </w:rPr>
        <w:t>15902871013（微信同号）</w:t>
      </w:r>
      <w:r>
        <w:rPr>
          <w:rFonts w:ascii="微软雅黑" w:hAnsi="微软雅黑" w:eastAsia="微软雅黑" w:cstheme="minorEastAsia"/>
          <w:color w:val="000000" w:themeColor="text1"/>
          <w:kern w:val="0"/>
          <w:sz w:val="24"/>
          <w:szCs w:val="24"/>
          <w14:textFill>
            <w14:solidFill>
              <w14:schemeClr w14:val="tx1"/>
            </w14:solidFill>
          </w14:textFill>
        </w:rPr>
        <w:t xml:space="preserve"> </w:t>
      </w:r>
      <w:bookmarkStart w:id="24" w:name="_GoBack"/>
      <w:bookmarkEnd w:id="24"/>
      <w:r>
        <w:rPr>
          <w:rFonts w:ascii="微软雅黑" w:hAnsi="微软雅黑" w:eastAsia="微软雅黑" w:cstheme="minorEastAsia"/>
          <w:color w:val="000000" w:themeColor="text1"/>
          <w:sz w:val="24"/>
          <w:szCs w:val="24"/>
          <w14:textFill>
            <w14:solidFill>
              <w14:schemeClr w14:val="tx1"/>
            </w14:solidFill>
          </w14:textFill>
        </w:rPr>
        <w:t xml:space="preserve">                 </w:t>
      </w:r>
      <w:r>
        <w:rPr>
          <w:rFonts w:hint="eastAsia" w:ascii="微软雅黑" w:hAnsi="微软雅黑" w:eastAsia="微软雅黑" w:cstheme="minorEastAsia"/>
          <w:color w:val="000000" w:themeColor="text1"/>
          <w:sz w:val="24"/>
          <w:szCs w:val="24"/>
          <w14:textFill>
            <w14:solidFill>
              <w14:schemeClr w14:val="tx1"/>
            </w14:solidFill>
          </w14:textFill>
        </w:rPr>
        <w:t xml:space="preserve">                </w:t>
      </w:r>
    </w:p>
    <w:sectPr>
      <w:type w:val="continuous"/>
      <w:pgSz w:w="11906" w:h="16838"/>
      <w:pgMar w:top="590" w:right="1080" w:bottom="590"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Rockwell">
    <w:altName w:val="Chaparral Pro"/>
    <w:panose1 w:val="02060603020205020403"/>
    <w:charset w:val="00"/>
    <w:family w:val="roman"/>
    <w:pitch w:val="default"/>
    <w:sig w:usb0="00000000" w:usb1="00000000" w:usb2="00000000" w:usb3="00000000" w:csb0="00000003" w:csb1="00000000"/>
  </w:font>
  <w:font w:name="Chaparral Pro">
    <w:panose1 w:val="02060503040505020203"/>
    <w:charset w:val="00"/>
    <w:family w:val="auto"/>
    <w:pitch w:val="default"/>
    <w:sig w:usb0="00000007" w:usb1="00000001" w:usb2="00000000" w:usb3="00000000" w:csb0="2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2" name="MSIPCM05bd4589b1d39d066aa16464"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wps:spPr>
                    <wps:txbx>
                      <w:txbxContent>
                        <w:p>
                          <w:pPr>
                            <w:jc w:val="left"/>
                            <w:rPr>
                              <w:rFonts w:ascii="Rockwell" w:hAnsi="Rockwell"/>
                              <w:color w:val="0078D7"/>
                              <w:sz w:val="18"/>
                            </w:rPr>
                          </w:pPr>
                          <w:r>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05bd4589b1d39d066aa16464" o:spid="_x0000_s1026" o:spt="202" alt="{&quot;HashCode&quot;:-1348403003,&quot;Height&quot;:841.0,&quot;Width&quot;:595.0,&quot;Placement&quot;:&quot;Footer&quot;,&quot;Index&quot;:&quot;Primary&quot;,&quot;Section&quot;:1,&quot;Top&quot;:0.0,&quot;Left&quot;:0.0}" type="#_x0000_t202" style="position:absolute;left:0pt;margin-left:0pt;margin-top:805.9pt;height:21pt;width:595.3pt;mso-position-horizontal-relative:page;mso-position-vertical-relative:page;z-index:251659264;v-text-anchor:bottom;mso-width-relative:page;mso-height-relative:page;" filled="f" stroked="f" coordsize="21600,21600" o:allowincell="f" o:gfxdata="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FTS&#10;MOzXAAAACwEAAA8AAAAAAAAAAQAgAAAAIgAAAGRycy9kb3ducmV2LnhtbFBLAQIUABQAAAAIAIdO&#10;4kBH99OolgIAAA4FAAAOAAAAAAAAAAEAIAAAACYBAABkcnMvZTJvRG9jLnhtbFBLBQYAAAAABgAG&#10;AFkBAAAuBgAAAAA=&#10;">
              <v:fill on="f" focussize="0,0"/>
              <v:stroke on="f" weight="0.5pt"/>
              <v:imagedata o:title=""/>
              <o:lock v:ext="edit" aspectratio="f"/>
              <v:textbox inset="20pt,0mm,2.54mm,0mm">
                <w:txbxContent>
                  <w:p>
                    <w:pPr>
                      <w:jc w:val="left"/>
                      <w:rPr>
                        <w:rFonts w:ascii="Rockwell" w:hAnsi="Rockwell"/>
                        <w:color w:val="0078D7"/>
                        <w:sz w:val="18"/>
                      </w:rPr>
                    </w:pPr>
                    <w:r>
                      <w:rPr>
                        <w:rFonts w:ascii="Rockwell" w:hAnsi="Rockwell"/>
                        <w:color w:val="0078D7"/>
                        <w:sz w:val="18"/>
                      </w:rPr>
                      <w:t>Information Classification: General</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heme="minorEastAsia" w:hAnsiTheme="minorEastAsia" w:cstheme="minorEastAsia"/>
        <w:sz w:val="24"/>
        <w:szCs w:val="24"/>
      </w:rPr>
    </w:pPr>
    <w:r>
      <w:rPr>
        <w:rFonts w:hint="eastAsia"/>
      </w:rPr>
      <w:drawing>
        <wp:anchor distT="0" distB="0" distL="114300" distR="114300" simplePos="0" relativeHeight="251658240" behindDoc="0" locked="0" layoutInCell="1" allowOverlap="1">
          <wp:simplePos x="0" y="0"/>
          <wp:positionH relativeFrom="column">
            <wp:posOffset>47625</wp:posOffset>
          </wp:positionH>
          <wp:positionV relativeFrom="paragraph">
            <wp:posOffset>-111760</wp:posOffset>
          </wp:positionV>
          <wp:extent cx="689610" cy="444500"/>
          <wp:effectExtent l="0" t="0" r="0" b="0"/>
          <wp:wrapNone/>
          <wp:docPr id="1" name="图片 1" descr="0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22(2)"/>
                  <pic:cNvPicPr>
                    <a:picLocks noChangeAspect="1"/>
                  </pic:cNvPicPr>
                </pic:nvPicPr>
                <pic:blipFill>
                  <a:blip r:embed="rId1"/>
                  <a:stretch>
                    <a:fillRect/>
                  </a:stretch>
                </pic:blipFill>
                <pic:spPr>
                  <a:xfrm>
                    <a:off x="0" y="0"/>
                    <a:ext cx="689610" cy="444500"/>
                  </a:xfrm>
                  <a:prstGeom prst="rect">
                    <a:avLst/>
                  </a:prstGeom>
                </pic:spPr>
              </pic:pic>
            </a:graphicData>
          </a:graphic>
        </wp:anchor>
      </w:drawing>
    </w:r>
    <w:r>
      <w:rPr>
        <w:rFonts w:hint="eastAsia" w:asciiTheme="minorEastAsia" w:hAnsiTheme="minorEastAsia" w:cstheme="minorEastAsia"/>
        <w:b/>
        <w:bCs/>
        <w:sz w:val="24"/>
        <w:szCs w:val="24"/>
      </w:rPr>
      <w:t>中西部大家居建装行业旗舰展</w:t>
    </w:r>
  </w:p>
  <w:p>
    <w:pPr>
      <w:pBdr>
        <w:bottom w:val="double" w:color="808080" w:sz="8" w:space="0"/>
      </w:pBdr>
      <w:jc w:val="right"/>
      <w:rPr>
        <w:b/>
        <w:bCs/>
      </w:rPr>
    </w:pPr>
    <w:r>
      <w:rPr>
        <w:rFonts w:hint="eastAsia" w:asciiTheme="minorEastAsia" w:hAnsiTheme="minorEastAsia" w:cstheme="minorEastAsia"/>
        <w:szCs w:val="21"/>
      </w:rPr>
      <w:t>1</w:t>
    </w:r>
    <w:r>
      <w:rPr>
        <w:rFonts w:asciiTheme="minorEastAsia" w:hAnsiTheme="minorEastAsia" w:cstheme="minorEastAsia"/>
        <w:szCs w:val="21"/>
      </w:rPr>
      <w:t>2</w:t>
    </w:r>
    <w:r>
      <w:rPr>
        <w:rFonts w:hint="eastAsia" w:asciiTheme="minorEastAsia" w:hAnsiTheme="minorEastAsia" w:cstheme="minorEastAsia"/>
        <w:szCs w:val="21"/>
      </w:rPr>
      <w:t>个展馆·15万㎡展览面积·预计1600</w:t>
    </w:r>
    <w:r>
      <w:rPr>
        <w:rFonts w:hint="eastAsia" w:asciiTheme="minorEastAsia" w:hAnsiTheme="minorEastAsia" w:cstheme="minorEastAsia"/>
        <w:sz w:val="28"/>
        <w:szCs w:val="28"/>
        <w:vertAlign w:val="superscript"/>
      </w:rPr>
      <w:t>+</w:t>
    </w:r>
    <w:r>
      <w:rPr>
        <w:rFonts w:hint="eastAsia" w:asciiTheme="minorEastAsia" w:hAnsiTheme="minorEastAsia" w:cstheme="minorEastAsia"/>
        <w:szCs w:val="21"/>
      </w:rPr>
      <w:t>展商、90000</w:t>
    </w:r>
    <w:r>
      <w:rPr>
        <w:rFonts w:hint="eastAsia" w:asciiTheme="minorEastAsia" w:hAnsiTheme="minorEastAsia" w:cstheme="minorEastAsia"/>
        <w:sz w:val="28"/>
        <w:szCs w:val="28"/>
        <w:vertAlign w:val="superscript"/>
      </w:rPr>
      <w:t>+</w:t>
    </w:r>
    <w:r>
      <w:rPr>
        <w:rFonts w:hint="eastAsia" w:asciiTheme="minorEastAsia" w:hAnsiTheme="minorEastAsia" w:cstheme="minorEastAsia"/>
        <w:szCs w:val="21"/>
      </w:rPr>
      <w:t>观众</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5px;height:15px" o:bullet="t">
        <v:imagedata r:id="rId1" o:title=""/>
      </v:shape>
    </w:pict>
  </w:numPicBullet>
  <w:abstractNum w:abstractNumId="0">
    <w:nsid w:val="5D5608A8"/>
    <w:multiLevelType w:val="multilevel"/>
    <w:tmpl w:val="5D5608A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D4B3592"/>
    <w:multiLevelType w:val="multilevel"/>
    <w:tmpl w:val="6D4B3592"/>
    <w:lvl w:ilvl="0" w:tentative="0">
      <w:start w:val="1"/>
      <w:numFmt w:val="bullet"/>
      <w:lvlText w:val=""/>
      <w:lvlPicBulletId w:val="0"/>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4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26"/>
    <w:rsid w:val="00000674"/>
    <w:rsid w:val="00006319"/>
    <w:rsid w:val="0000739E"/>
    <w:rsid w:val="00013048"/>
    <w:rsid w:val="00020240"/>
    <w:rsid w:val="000207CB"/>
    <w:rsid w:val="00021854"/>
    <w:rsid w:val="0002261F"/>
    <w:rsid w:val="00022A2D"/>
    <w:rsid w:val="00024DA3"/>
    <w:rsid w:val="000309EC"/>
    <w:rsid w:val="0003197F"/>
    <w:rsid w:val="000320A5"/>
    <w:rsid w:val="00034B6E"/>
    <w:rsid w:val="00034F09"/>
    <w:rsid w:val="000379AF"/>
    <w:rsid w:val="00040A7E"/>
    <w:rsid w:val="00041F05"/>
    <w:rsid w:val="00042C4C"/>
    <w:rsid w:val="00046605"/>
    <w:rsid w:val="00046DD6"/>
    <w:rsid w:val="00047449"/>
    <w:rsid w:val="0005161C"/>
    <w:rsid w:val="00052812"/>
    <w:rsid w:val="0005640D"/>
    <w:rsid w:val="000602BC"/>
    <w:rsid w:val="00063177"/>
    <w:rsid w:val="000634DB"/>
    <w:rsid w:val="00070ABE"/>
    <w:rsid w:val="00071942"/>
    <w:rsid w:val="00071B94"/>
    <w:rsid w:val="00072133"/>
    <w:rsid w:val="000722C7"/>
    <w:rsid w:val="0007353B"/>
    <w:rsid w:val="0007660D"/>
    <w:rsid w:val="00077289"/>
    <w:rsid w:val="00080636"/>
    <w:rsid w:val="00082149"/>
    <w:rsid w:val="00083D28"/>
    <w:rsid w:val="000855D8"/>
    <w:rsid w:val="00092249"/>
    <w:rsid w:val="00093A4A"/>
    <w:rsid w:val="000943E6"/>
    <w:rsid w:val="00096323"/>
    <w:rsid w:val="000A11E9"/>
    <w:rsid w:val="000A5E3C"/>
    <w:rsid w:val="000A79E0"/>
    <w:rsid w:val="000A7F21"/>
    <w:rsid w:val="000B4922"/>
    <w:rsid w:val="000B70E7"/>
    <w:rsid w:val="000B735E"/>
    <w:rsid w:val="000C321F"/>
    <w:rsid w:val="000C61C2"/>
    <w:rsid w:val="000C665F"/>
    <w:rsid w:val="000C6A33"/>
    <w:rsid w:val="000D25D5"/>
    <w:rsid w:val="000D5EAB"/>
    <w:rsid w:val="000D667E"/>
    <w:rsid w:val="000D71D9"/>
    <w:rsid w:val="000D7D84"/>
    <w:rsid w:val="000E0BCE"/>
    <w:rsid w:val="000E1E6C"/>
    <w:rsid w:val="000E51EB"/>
    <w:rsid w:val="000E6C07"/>
    <w:rsid w:val="000F67F4"/>
    <w:rsid w:val="000F7653"/>
    <w:rsid w:val="000F7E4E"/>
    <w:rsid w:val="00100D22"/>
    <w:rsid w:val="001019D6"/>
    <w:rsid w:val="0010472D"/>
    <w:rsid w:val="00106302"/>
    <w:rsid w:val="00111A99"/>
    <w:rsid w:val="00112E1B"/>
    <w:rsid w:val="001138CF"/>
    <w:rsid w:val="001169AA"/>
    <w:rsid w:val="001212D9"/>
    <w:rsid w:val="001277BB"/>
    <w:rsid w:val="00127981"/>
    <w:rsid w:val="00140810"/>
    <w:rsid w:val="001429C5"/>
    <w:rsid w:val="00150CDC"/>
    <w:rsid w:val="0015205C"/>
    <w:rsid w:val="00152F7A"/>
    <w:rsid w:val="00161EEF"/>
    <w:rsid w:val="001630BC"/>
    <w:rsid w:val="00164134"/>
    <w:rsid w:val="001651C5"/>
    <w:rsid w:val="00170458"/>
    <w:rsid w:val="00172777"/>
    <w:rsid w:val="00182F3A"/>
    <w:rsid w:val="00185BA2"/>
    <w:rsid w:val="00185F9F"/>
    <w:rsid w:val="00185FE1"/>
    <w:rsid w:val="001868F1"/>
    <w:rsid w:val="00195B6D"/>
    <w:rsid w:val="00196709"/>
    <w:rsid w:val="001971AC"/>
    <w:rsid w:val="00197D05"/>
    <w:rsid w:val="001A05FD"/>
    <w:rsid w:val="001A2A66"/>
    <w:rsid w:val="001A6BBC"/>
    <w:rsid w:val="001B03F8"/>
    <w:rsid w:val="001B131F"/>
    <w:rsid w:val="001B1699"/>
    <w:rsid w:val="001B408E"/>
    <w:rsid w:val="001B5DD5"/>
    <w:rsid w:val="001B7307"/>
    <w:rsid w:val="001B7875"/>
    <w:rsid w:val="001B7CAD"/>
    <w:rsid w:val="001D0415"/>
    <w:rsid w:val="001D0EBD"/>
    <w:rsid w:val="001E1C67"/>
    <w:rsid w:val="001E3AF9"/>
    <w:rsid w:val="001E48BB"/>
    <w:rsid w:val="001F213E"/>
    <w:rsid w:val="001F502F"/>
    <w:rsid w:val="001F5C94"/>
    <w:rsid w:val="001F75F6"/>
    <w:rsid w:val="00207E12"/>
    <w:rsid w:val="002109CE"/>
    <w:rsid w:val="0021324C"/>
    <w:rsid w:val="002164E8"/>
    <w:rsid w:val="00216C94"/>
    <w:rsid w:val="00217B2D"/>
    <w:rsid w:val="002206DE"/>
    <w:rsid w:val="002234E9"/>
    <w:rsid w:val="00224CFC"/>
    <w:rsid w:val="002308CE"/>
    <w:rsid w:val="002309B6"/>
    <w:rsid w:val="0023459F"/>
    <w:rsid w:val="00234A93"/>
    <w:rsid w:val="00236EFF"/>
    <w:rsid w:val="002408EF"/>
    <w:rsid w:val="002408F7"/>
    <w:rsid w:val="002424E1"/>
    <w:rsid w:val="00242D72"/>
    <w:rsid w:val="00242E1B"/>
    <w:rsid w:val="00252910"/>
    <w:rsid w:val="00253976"/>
    <w:rsid w:val="00253A04"/>
    <w:rsid w:val="00254493"/>
    <w:rsid w:val="0025466E"/>
    <w:rsid w:val="00254F78"/>
    <w:rsid w:val="00260041"/>
    <w:rsid w:val="00263E79"/>
    <w:rsid w:val="00264355"/>
    <w:rsid w:val="00265F12"/>
    <w:rsid w:val="00266444"/>
    <w:rsid w:val="002671DC"/>
    <w:rsid w:val="00267E07"/>
    <w:rsid w:val="002725B6"/>
    <w:rsid w:val="002752E5"/>
    <w:rsid w:val="00277CE9"/>
    <w:rsid w:val="002822CF"/>
    <w:rsid w:val="00287366"/>
    <w:rsid w:val="00291CB5"/>
    <w:rsid w:val="002967DF"/>
    <w:rsid w:val="002A0A03"/>
    <w:rsid w:val="002A2287"/>
    <w:rsid w:val="002B30D5"/>
    <w:rsid w:val="002B374E"/>
    <w:rsid w:val="002B5064"/>
    <w:rsid w:val="002B5253"/>
    <w:rsid w:val="002B76BB"/>
    <w:rsid w:val="002C3BC4"/>
    <w:rsid w:val="002C47DD"/>
    <w:rsid w:val="002C4C6E"/>
    <w:rsid w:val="002C4CE9"/>
    <w:rsid w:val="002C4FC6"/>
    <w:rsid w:val="002C5286"/>
    <w:rsid w:val="002C55B4"/>
    <w:rsid w:val="002C64E3"/>
    <w:rsid w:val="002D038A"/>
    <w:rsid w:val="002D1506"/>
    <w:rsid w:val="002D2313"/>
    <w:rsid w:val="002D2CB7"/>
    <w:rsid w:val="002D3AA6"/>
    <w:rsid w:val="002D48D2"/>
    <w:rsid w:val="002D7734"/>
    <w:rsid w:val="002E1334"/>
    <w:rsid w:val="002E2499"/>
    <w:rsid w:val="002E4AC7"/>
    <w:rsid w:val="002E6817"/>
    <w:rsid w:val="002E7341"/>
    <w:rsid w:val="002F2173"/>
    <w:rsid w:val="002F7CA1"/>
    <w:rsid w:val="00300A91"/>
    <w:rsid w:val="00301812"/>
    <w:rsid w:val="00301DE7"/>
    <w:rsid w:val="00305F69"/>
    <w:rsid w:val="00310A6E"/>
    <w:rsid w:val="0031259E"/>
    <w:rsid w:val="00313CAD"/>
    <w:rsid w:val="003140C3"/>
    <w:rsid w:val="00314290"/>
    <w:rsid w:val="00315A6B"/>
    <w:rsid w:val="00317565"/>
    <w:rsid w:val="00317E61"/>
    <w:rsid w:val="00320D30"/>
    <w:rsid w:val="00320F65"/>
    <w:rsid w:val="00323FAB"/>
    <w:rsid w:val="00325ABC"/>
    <w:rsid w:val="00326127"/>
    <w:rsid w:val="0032694C"/>
    <w:rsid w:val="00326BC3"/>
    <w:rsid w:val="00331A14"/>
    <w:rsid w:val="003348CB"/>
    <w:rsid w:val="003364B6"/>
    <w:rsid w:val="00344CF3"/>
    <w:rsid w:val="00346391"/>
    <w:rsid w:val="00350771"/>
    <w:rsid w:val="00350790"/>
    <w:rsid w:val="0035213D"/>
    <w:rsid w:val="00353317"/>
    <w:rsid w:val="00356174"/>
    <w:rsid w:val="00356777"/>
    <w:rsid w:val="0036370E"/>
    <w:rsid w:val="00364C1F"/>
    <w:rsid w:val="003678B2"/>
    <w:rsid w:val="00367F1F"/>
    <w:rsid w:val="00377497"/>
    <w:rsid w:val="00380B3E"/>
    <w:rsid w:val="0038250A"/>
    <w:rsid w:val="003867D9"/>
    <w:rsid w:val="0038716A"/>
    <w:rsid w:val="003932DE"/>
    <w:rsid w:val="00397F6B"/>
    <w:rsid w:val="003A12B9"/>
    <w:rsid w:val="003A2E12"/>
    <w:rsid w:val="003A61EB"/>
    <w:rsid w:val="003B1A8C"/>
    <w:rsid w:val="003B1F01"/>
    <w:rsid w:val="003C0A9F"/>
    <w:rsid w:val="003C1814"/>
    <w:rsid w:val="003C1F14"/>
    <w:rsid w:val="003C2BC9"/>
    <w:rsid w:val="003C59E2"/>
    <w:rsid w:val="003C635A"/>
    <w:rsid w:val="003D24B4"/>
    <w:rsid w:val="003D33F4"/>
    <w:rsid w:val="003D4D46"/>
    <w:rsid w:val="003D52AB"/>
    <w:rsid w:val="003D6860"/>
    <w:rsid w:val="003E2ADD"/>
    <w:rsid w:val="003E3FB6"/>
    <w:rsid w:val="003F29E8"/>
    <w:rsid w:val="003F2F57"/>
    <w:rsid w:val="003F61C5"/>
    <w:rsid w:val="00400408"/>
    <w:rsid w:val="00410737"/>
    <w:rsid w:val="0041230A"/>
    <w:rsid w:val="00412916"/>
    <w:rsid w:val="00415362"/>
    <w:rsid w:val="0041662A"/>
    <w:rsid w:val="0042501F"/>
    <w:rsid w:val="0042558F"/>
    <w:rsid w:val="00425A16"/>
    <w:rsid w:val="004306BB"/>
    <w:rsid w:val="00434ED9"/>
    <w:rsid w:val="00435598"/>
    <w:rsid w:val="00436A00"/>
    <w:rsid w:val="00436B56"/>
    <w:rsid w:val="00436C9E"/>
    <w:rsid w:val="00437325"/>
    <w:rsid w:val="00437EE2"/>
    <w:rsid w:val="00441109"/>
    <w:rsid w:val="00444248"/>
    <w:rsid w:val="00451464"/>
    <w:rsid w:val="00453A40"/>
    <w:rsid w:val="00453D72"/>
    <w:rsid w:val="00456D83"/>
    <w:rsid w:val="004577E9"/>
    <w:rsid w:val="00462C5C"/>
    <w:rsid w:val="004637C2"/>
    <w:rsid w:val="0046386B"/>
    <w:rsid w:val="00465D29"/>
    <w:rsid w:val="004724C6"/>
    <w:rsid w:val="00473AF4"/>
    <w:rsid w:val="00474F21"/>
    <w:rsid w:val="00475BBF"/>
    <w:rsid w:val="00477161"/>
    <w:rsid w:val="00477E20"/>
    <w:rsid w:val="00482247"/>
    <w:rsid w:val="00484764"/>
    <w:rsid w:val="00484A00"/>
    <w:rsid w:val="0048581A"/>
    <w:rsid w:val="00485A03"/>
    <w:rsid w:val="00485A23"/>
    <w:rsid w:val="00485CF9"/>
    <w:rsid w:val="00495525"/>
    <w:rsid w:val="004A56BA"/>
    <w:rsid w:val="004A6FFB"/>
    <w:rsid w:val="004A76FA"/>
    <w:rsid w:val="004A79B7"/>
    <w:rsid w:val="004B2D00"/>
    <w:rsid w:val="004B56E0"/>
    <w:rsid w:val="004B5AB9"/>
    <w:rsid w:val="004B5C85"/>
    <w:rsid w:val="004B7E3B"/>
    <w:rsid w:val="004C2935"/>
    <w:rsid w:val="004C6876"/>
    <w:rsid w:val="004D38F2"/>
    <w:rsid w:val="004D3EA5"/>
    <w:rsid w:val="004D460A"/>
    <w:rsid w:val="004D6C58"/>
    <w:rsid w:val="004E018D"/>
    <w:rsid w:val="004E1783"/>
    <w:rsid w:val="004E6B93"/>
    <w:rsid w:val="004E7642"/>
    <w:rsid w:val="004F20F6"/>
    <w:rsid w:val="004F3010"/>
    <w:rsid w:val="004F3E8A"/>
    <w:rsid w:val="004F4BC1"/>
    <w:rsid w:val="004F6612"/>
    <w:rsid w:val="004F7819"/>
    <w:rsid w:val="00502589"/>
    <w:rsid w:val="005070CF"/>
    <w:rsid w:val="0050726A"/>
    <w:rsid w:val="00511B24"/>
    <w:rsid w:val="00513E83"/>
    <w:rsid w:val="0052086E"/>
    <w:rsid w:val="00526666"/>
    <w:rsid w:val="005275B1"/>
    <w:rsid w:val="0053010D"/>
    <w:rsid w:val="00533305"/>
    <w:rsid w:val="005376A9"/>
    <w:rsid w:val="005416E8"/>
    <w:rsid w:val="0054236A"/>
    <w:rsid w:val="00545D07"/>
    <w:rsid w:val="00547F71"/>
    <w:rsid w:val="00551DD7"/>
    <w:rsid w:val="00552C10"/>
    <w:rsid w:val="005537FA"/>
    <w:rsid w:val="00553E1F"/>
    <w:rsid w:val="00555D50"/>
    <w:rsid w:val="0055667F"/>
    <w:rsid w:val="00556CD0"/>
    <w:rsid w:val="00561EAE"/>
    <w:rsid w:val="00562794"/>
    <w:rsid w:val="00563685"/>
    <w:rsid w:val="00564394"/>
    <w:rsid w:val="00565E67"/>
    <w:rsid w:val="00566239"/>
    <w:rsid w:val="005668E4"/>
    <w:rsid w:val="00566AEE"/>
    <w:rsid w:val="00570EB3"/>
    <w:rsid w:val="005801C9"/>
    <w:rsid w:val="00580BA9"/>
    <w:rsid w:val="00582898"/>
    <w:rsid w:val="0058300F"/>
    <w:rsid w:val="00583CB0"/>
    <w:rsid w:val="00585785"/>
    <w:rsid w:val="00585BCD"/>
    <w:rsid w:val="005906EB"/>
    <w:rsid w:val="00593AA5"/>
    <w:rsid w:val="00593CC4"/>
    <w:rsid w:val="0059609A"/>
    <w:rsid w:val="005A196A"/>
    <w:rsid w:val="005A7230"/>
    <w:rsid w:val="005B53CB"/>
    <w:rsid w:val="005C073F"/>
    <w:rsid w:val="005C2EA4"/>
    <w:rsid w:val="005C3B9E"/>
    <w:rsid w:val="005C4413"/>
    <w:rsid w:val="005C59FA"/>
    <w:rsid w:val="005C6937"/>
    <w:rsid w:val="005D0CE7"/>
    <w:rsid w:val="005D43AE"/>
    <w:rsid w:val="005D77C4"/>
    <w:rsid w:val="005D7B03"/>
    <w:rsid w:val="005E148B"/>
    <w:rsid w:val="005E34B2"/>
    <w:rsid w:val="005E62D4"/>
    <w:rsid w:val="005F2CC8"/>
    <w:rsid w:val="005F5D67"/>
    <w:rsid w:val="005F6994"/>
    <w:rsid w:val="0060217B"/>
    <w:rsid w:val="00603AE8"/>
    <w:rsid w:val="00611C2F"/>
    <w:rsid w:val="00613516"/>
    <w:rsid w:val="006158BF"/>
    <w:rsid w:val="00617E25"/>
    <w:rsid w:val="00620263"/>
    <w:rsid w:val="0062099C"/>
    <w:rsid w:val="0062151F"/>
    <w:rsid w:val="00636E45"/>
    <w:rsid w:val="00637780"/>
    <w:rsid w:val="00640547"/>
    <w:rsid w:val="00640829"/>
    <w:rsid w:val="00642872"/>
    <w:rsid w:val="00644AEF"/>
    <w:rsid w:val="006466CB"/>
    <w:rsid w:val="00646DF0"/>
    <w:rsid w:val="00651A2D"/>
    <w:rsid w:val="00661E1E"/>
    <w:rsid w:val="00671452"/>
    <w:rsid w:val="0067249C"/>
    <w:rsid w:val="0067613F"/>
    <w:rsid w:val="00677498"/>
    <w:rsid w:val="00677512"/>
    <w:rsid w:val="00680B2D"/>
    <w:rsid w:val="00692A91"/>
    <w:rsid w:val="00694F3B"/>
    <w:rsid w:val="00697AB0"/>
    <w:rsid w:val="006A18A3"/>
    <w:rsid w:val="006A2F12"/>
    <w:rsid w:val="006B040D"/>
    <w:rsid w:val="006B35CE"/>
    <w:rsid w:val="006B4957"/>
    <w:rsid w:val="006B4C7A"/>
    <w:rsid w:val="006B5351"/>
    <w:rsid w:val="006D3483"/>
    <w:rsid w:val="006D585A"/>
    <w:rsid w:val="006D5C0D"/>
    <w:rsid w:val="006E23D2"/>
    <w:rsid w:val="006E2552"/>
    <w:rsid w:val="006F294C"/>
    <w:rsid w:val="006F4FD3"/>
    <w:rsid w:val="00707460"/>
    <w:rsid w:val="00707FD2"/>
    <w:rsid w:val="007160D7"/>
    <w:rsid w:val="0071716D"/>
    <w:rsid w:val="00717591"/>
    <w:rsid w:val="00717963"/>
    <w:rsid w:val="00722F01"/>
    <w:rsid w:val="00725075"/>
    <w:rsid w:val="00727675"/>
    <w:rsid w:val="00731932"/>
    <w:rsid w:val="007343C0"/>
    <w:rsid w:val="0074058B"/>
    <w:rsid w:val="00742622"/>
    <w:rsid w:val="00742A73"/>
    <w:rsid w:val="007441D6"/>
    <w:rsid w:val="0074445F"/>
    <w:rsid w:val="007473BD"/>
    <w:rsid w:val="00747C08"/>
    <w:rsid w:val="00753907"/>
    <w:rsid w:val="00754239"/>
    <w:rsid w:val="00756C93"/>
    <w:rsid w:val="007628C3"/>
    <w:rsid w:val="00762B9B"/>
    <w:rsid w:val="00763563"/>
    <w:rsid w:val="007643E9"/>
    <w:rsid w:val="00764F28"/>
    <w:rsid w:val="00766234"/>
    <w:rsid w:val="00766606"/>
    <w:rsid w:val="00767EA3"/>
    <w:rsid w:val="007700A5"/>
    <w:rsid w:val="00774070"/>
    <w:rsid w:val="00786341"/>
    <w:rsid w:val="00797B14"/>
    <w:rsid w:val="007A2BBF"/>
    <w:rsid w:val="007A2F83"/>
    <w:rsid w:val="007A42CA"/>
    <w:rsid w:val="007A4818"/>
    <w:rsid w:val="007B10A4"/>
    <w:rsid w:val="007B12B4"/>
    <w:rsid w:val="007B4907"/>
    <w:rsid w:val="007B491A"/>
    <w:rsid w:val="007C2A7C"/>
    <w:rsid w:val="007C2C10"/>
    <w:rsid w:val="007C33F2"/>
    <w:rsid w:val="007D2341"/>
    <w:rsid w:val="007D3BE2"/>
    <w:rsid w:val="007D59E6"/>
    <w:rsid w:val="007E1C9B"/>
    <w:rsid w:val="007E2ED7"/>
    <w:rsid w:val="007E6A2D"/>
    <w:rsid w:val="007E7271"/>
    <w:rsid w:val="007E76BB"/>
    <w:rsid w:val="007F6213"/>
    <w:rsid w:val="007F6A6F"/>
    <w:rsid w:val="007F7BE4"/>
    <w:rsid w:val="00800BA2"/>
    <w:rsid w:val="0080291B"/>
    <w:rsid w:val="008031B4"/>
    <w:rsid w:val="008032A1"/>
    <w:rsid w:val="008038B1"/>
    <w:rsid w:val="008040F3"/>
    <w:rsid w:val="008041DF"/>
    <w:rsid w:val="0080665F"/>
    <w:rsid w:val="00817198"/>
    <w:rsid w:val="00826808"/>
    <w:rsid w:val="00831E44"/>
    <w:rsid w:val="008328ED"/>
    <w:rsid w:val="00833DE3"/>
    <w:rsid w:val="0083440D"/>
    <w:rsid w:val="008346C9"/>
    <w:rsid w:val="008377C0"/>
    <w:rsid w:val="008412B1"/>
    <w:rsid w:val="00841E48"/>
    <w:rsid w:val="00843DFD"/>
    <w:rsid w:val="00844F98"/>
    <w:rsid w:val="00845787"/>
    <w:rsid w:val="00845CAE"/>
    <w:rsid w:val="00853F46"/>
    <w:rsid w:val="00856356"/>
    <w:rsid w:val="008573AD"/>
    <w:rsid w:val="008649CF"/>
    <w:rsid w:val="00865E80"/>
    <w:rsid w:val="00866F38"/>
    <w:rsid w:val="00872BDA"/>
    <w:rsid w:val="00883502"/>
    <w:rsid w:val="00883C8D"/>
    <w:rsid w:val="00886678"/>
    <w:rsid w:val="008A02AC"/>
    <w:rsid w:val="008A09E3"/>
    <w:rsid w:val="008A0F9E"/>
    <w:rsid w:val="008A16BF"/>
    <w:rsid w:val="008A2686"/>
    <w:rsid w:val="008A4274"/>
    <w:rsid w:val="008A5587"/>
    <w:rsid w:val="008A62A8"/>
    <w:rsid w:val="008B0F4C"/>
    <w:rsid w:val="008B101E"/>
    <w:rsid w:val="008B1E10"/>
    <w:rsid w:val="008B276C"/>
    <w:rsid w:val="008B4C01"/>
    <w:rsid w:val="008B5256"/>
    <w:rsid w:val="008B70FF"/>
    <w:rsid w:val="008B7354"/>
    <w:rsid w:val="008C1861"/>
    <w:rsid w:val="008D1461"/>
    <w:rsid w:val="008D341F"/>
    <w:rsid w:val="008D6258"/>
    <w:rsid w:val="008D6EE1"/>
    <w:rsid w:val="008F4271"/>
    <w:rsid w:val="0090055D"/>
    <w:rsid w:val="00900768"/>
    <w:rsid w:val="009007F3"/>
    <w:rsid w:val="009024A3"/>
    <w:rsid w:val="00902A93"/>
    <w:rsid w:val="00903039"/>
    <w:rsid w:val="00910F1A"/>
    <w:rsid w:val="00914946"/>
    <w:rsid w:val="00914F50"/>
    <w:rsid w:val="00915D5F"/>
    <w:rsid w:val="00916F0B"/>
    <w:rsid w:val="00917DEF"/>
    <w:rsid w:val="009227B6"/>
    <w:rsid w:val="00922DB7"/>
    <w:rsid w:val="00922E42"/>
    <w:rsid w:val="00926D04"/>
    <w:rsid w:val="00927A4B"/>
    <w:rsid w:val="00930F36"/>
    <w:rsid w:val="00935019"/>
    <w:rsid w:val="00942195"/>
    <w:rsid w:val="00942E56"/>
    <w:rsid w:val="00944230"/>
    <w:rsid w:val="009450FF"/>
    <w:rsid w:val="00946D67"/>
    <w:rsid w:val="00947BC5"/>
    <w:rsid w:val="00947CB2"/>
    <w:rsid w:val="00950149"/>
    <w:rsid w:val="00951F63"/>
    <w:rsid w:val="009521FE"/>
    <w:rsid w:val="00954297"/>
    <w:rsid w:val="0095430E"/>
    <w:rsid w:val="00960E7A"/>
    <w:rsid w:val="009634DE"/>
    <w:rsid w:val="009635D9"/>
    <w:rsid w:val="00970231"/>
    <w:rsid w:val="00971519"/>
    <w:rsid w:val="00974B4B"/>
    <w:rsid w:val="0098120D"/>
    <w:rsid w:val="009812A0"/>
    <w:rsid w:val="00981A23"/>
    <w:rsid w:val="00981A75"/>
    <w:rsid w:val="0098357C"/>
    <w:rsid w:val="0098472B"/>
    <w:rsid w:val="00991772"/>
    <w:rsid w:val="00992874"/>
    <w:rsid w:val="00995AE6"/>
    <w:rsid w:val="00995C55"/>
    <w:rsid w:val="009A0260"/>
    <w:rsid w:val="009A103F"/>
    <w:rsid w:val="009A43C3"/>
    <w:rsid w:val="009A48B9"/>
    <w:rsid w:val="009A5AAC"/>
    <w:rsid w:val="009A62BA"/>
    <w:rsid w:val="009A69B1"/>
    <w:rsid w:val="009B26D0"/>
    <w:rsid w:val="009B2917"/>
    <w:rsid w:val="009B3AF1"/>
    <w:rsid w:val="009C712A"/>
    <w:rsid w:val="009C754C"/>
    <w:rsid w:val="009C762C"/>
    <w:rsid w:val="009D02DE"/>
    <w:rsid w:val="009D3BA1"/>
    <w:rsid w:val="009D6F8C"/>
    <w:rsid w:val="009E1710"/>
    <w:rsid w:val="009E3894"/>
    <w:rsid w:val="009E4A2E"/>
    <w:rsid w:val="009F0CCF"/>
    <w:rsid w:val="009F511E"/>
    <w:rsid w:val="00A06AE9"/>
    <w:rsid w:val="00A1027B"/>
    <w:rsid w:val="00A1255D"/>
    <w:rsid w:val="00A13DF1"/>
    <w:rsid w:val="00A14E36"/>
    <w:rsid w:val="00A1592D"/>
    <w:rsid w:val="00A175CD"/>
    <w:rsid w:val="00A17DD8"/>
    <w:rsid w:val="00A204E9"/>
    <w:rsid w:val="00A24E68"/>
    <w:rsid w:val="00A37897"/>
    <w:rsid w:val="00A40848"/>
    <w:rsid w:val="00A5213F"/>
    <w:rsid w:val="00A52A89"/>
    <w:rsid w:val="00A52C12"/>
    <w:rsid w:val="00A53F33"/>
    <w:rsid w:val="00A576BC"/>
    <w:rsid w:val="00A601D1"/>
    <w:rsid w:val="00A62ADF"/>
    <w:rsid w:val="00A6772A"/>
    <w:rsid w:val="00A74E06"/>
    <w:rsid w:val="00A75AA6"/>
    <w:rsid w:val="00A75D78"/>
    <w:rsid w:val="00A818B6"/>
    <w:rsid w:val="00A8275B"/>
    <w:rsid w:val="00A84C97"/>
    <w:rsid w:val="00A85EFB"/>
    <w:rsid w:val="00A860D2"/>
    <w:rsid w:val="00A86F9C"/>
    <w:rsid w:val="00AA0E73"/>
    <w:rsid w:val="00AA44B6"/>
    <w:rsid w:val="00AB208A"/>
    <w:rsid w:val="00AB4DF0"/>
    <w:rsid w:val="00AB67CA"/>
    <w:rsid w:val="00AC2671"/>
    <w:rsid w:val="00AC34FA"/>
    <w:rsid w:val="00AC44F1"/>
    <w:rsid w:val="00AC54AB"/>
    <w:rsid w:val="00AD004C"/>
    <w:rsid w:val="00AD3218"/>
    <w:rsid w:val="00AD6FBB"/>
    <w:rsid w:val="00AD7273"/>
    <w:rsid w:val="00AD7D2D"/>
    <w:rsid w:val="00AE0B26"/>
    <w:rsid w:val="00AE6B3F"/>
    <w:rsid w:val="00AF09DA"/>
    <w:rsid w:val="00AF23F7"/>
    <w:rsid w:val="00AF48DC"/>
    <w:rsid w:val="00AF6A35"/>
    <w:rsid w:val="00AF77E6"/>
    <w:rsid w:val="00B00195"/>
    <w:rsid w:val="00B01316"/>
    <w:rsid w:val="00B030FB"/>
    <w:rsid w:val="00B03126"/>
    <w:rsid w:val="00B03173"/>
    <w:rsid w:val="00B04C05"/>
    <w:rsid w:val="00B04C0D"/>
    <w:rsid w:val="00B05C1D"/>
    <w:rsid w:val="00B076A5"/>
    <w:rsid w:val="00B1280C"/>
    <w:rsid w:val="00B1298B"/>
    <w:rsid w:val="00B13FF0"/>
    <w:rsid w:val="00B207E3"/>
    <w:rsid w:val="00B21109"/>
    <w:rsid w:val="00B2620D"/>
    <w:rsid w:val="00B3083E"/>
    <w:rsid w:val="00B31B0B"/>
    <w:rsid w:val="00B34999"/>
    <w:rsid w:val="00B45A92"/>
    <w:rsid w:val="00B50482"/>
    <w:rsid w:val="00B53E7B"/>
    <w:rsid w:val="00B54C4A"/>
    <w:rsid w:val="00B57D4E"/>
    <w:rsid w:val="00B57DBD"/>
    <w:rsid w:val="00B6094E"/>
    <w:rsid w:val="00B60D7E"/>
    <w:rsid w:val="00B6208B"/>
    <w:rsid w:val="00B62807"/>
    <w:rsid w:val="00B62A7D"/>
    <w:rsid w:val="00B644AD"/>
    <w:rsid w:val="00B64B00"/>
    <w:rsid w:val="00B66703"/>
    <w:rsid w:val="00B72AC2"/>
    <w:rsid w:val="00B72D86"/>
    <w:rsid w:val="00B74566"/>
    <w:rsid w:val="00B7576E"/>
    <w:rsid w:val="00B762D5"/>
    <w:rsid w:val="00B77677"/>
    <w:rsid w:val="00B80287"/>
    <w:rsid w:val="00B81721"/>
    <w:rsid w:val="00B82466"/>
    <w:rsid w:val="00B83CB1"/>
    <w:rsid w:val="00B85217"/>
    <w:rsid w:val="00B85602"/>
    <w:rsid w:val="00B856CA"/>
    <w:rsid w:val="00B87088"/>
    <w:rsid w:val="00B91A58"/>
    <w:rsid w:val="00B93B25"/>
    <w:rsid w:val="00B94CFF"/>
    <w:rsid w:val="00BA03CE"/>
    <w:rsid w:val="00BA587E"/>
    <w:rsid w:val="00BA5CC4"/>
    <w:rsid w:val="00BA5D60"/>
    <w:rsid w:val="00BB68EB"/>
    <w:rsid w:val="00BB6DB0"/>
    <w:rsid w:val="00BB7113"/>
    <w:rsid w:val="00BB79FE"/>
    <w:rsid w:val="00BC1967"/>
    <w:rsid w:val="00BC2DCE"/>
    <w:rsid w:val="00BC3283"/>
    <w:rsid w:val="00BC7909"/>
    <w:rsid w:val="00BC7DC8"/>
    <w:rsid w:val="00BD2D76"/>
    <w:rsid w:val="00BD34BA"/>
    <w:rsid w:val="00BD45C5"/>
    <w:rsid w:val="00BE066C"/>
    <w:rsid w:val="00BE0FCE"/>
    <w:rsid w:val="00BE38B9"/>
    <w:rsid w:val="00BE461C"/>
    <w:rsid w:val="00BE73ED"/>
    <w:rsid w:val="00BE782C"/>
    <w:rsid w:val="00BF08A8"/>
    <w:rsid w:val="00BF4458"/>
    <w:rsid w:val="00BF630C"/>
    <w:rsid w:val="00C0028B"/>
    <w:rsid w:val="00C0331A"/>
    <w:rsid w:val="00C04961"/>
    <w:rsid w:val="00C0499E"/>
    <w:rsid w:val="00C135AF"/>
    <w:rsid w:val="00C14C2B"/>
    <w:rsid w:val="00C15EA0"/>
    <w:rsid w:val="00C17AE5"/>
    <w:rsid w:val="00C21395"/>
    <w:rsid w:val="00C22213"/>
    <w:rsid w:val="00C2335E"/>
    <w:rsid w:val="00C2508D"/>
    <w:rsid w:val="00C3145C"/>
    <w:rsid w:val="00C32D46"/>
    <w:rsid w:val="00C33065"/>
    <w:rsid w:val="00C338C7"/>
    <w:rsid w:val="00C364A4"/>
    <w:rsid w:val="00C40E85"/>
    <w:rsid w:val="00C55A91"/>
    <w:rsid w:val="00C57305"/>
    <w:rsid w:val="00C57E5B"/>
    <w:rsid w:val="00C61401"/>
    <w:rsid w:val="00C6142B"/>
    <w:rsid w:val="00C6692A"/>
    <w:rsid w:val="00C71886"/>
    <w:rsid w:val="00C732EA"/>
    <w:rsid w:val="00C7373F"/>
    <w:rsid w:val="00C7449F"/>
    <w:rsid w:val="00C7599A"/>
    <w:rsid w:val="00C75D9A"/>
    <w:rsid w:val="00C77B12"/>
    <w:rsid w:val="00C80EEB"/>
    <w:rsid w:val="00C847D6"/>
    <w:rsid w:val="00C93D46"/>
    <w:rsid w:val="00C94976"/>
    <w:rsid w:val="00CA0BA4"/>
    <w:rsid w:val="00CA4AFD"/>
    <w:rsid w:val="00CB0851"/>
    <w:rsid w:val="00CB19F3"/>
    <w:rsid w:val="00CB2EF6"/>
    <w:rsid w:val="00CB78A4"/>
    <w:rsid w:val="00CC2E38"/>
    <w:rsid w:val="00CC32B3"/>
    <w:rsid w:val="00CC6AF5"/>
    <w:rsid w:val="00CC7549"/>
    <w:rsid w:val="00CD0BB9"/>
    <w:rsid w:val="00CD2CA3"/>
    <w:rsid w:val="00CD3564"/>
    <w:rsid w:val="00CD6DFA"/>
    <w:rsid w:val="00CD7089"/>
    <w:rsid w:val="00CE0F39"/>
    <w:rsid w:val="00CE693B"/>
    <w:rsid w:val="00CE7320"/>
    <w:rsid w:val="00CF3707"/>
    <w:rsid w:val="00CF6151"/>
    <w:rsid w:val="00D00572"/>
    <w:rsid w:val="00D02299"/>
    <w:rsid w:val="00D02548"/>
    <w:rsid w:val="00D10CCD"/>
    <w:rsid w:val="00D15AE7"/>
    <w:rsid w:val="00D15FDB"/>
    <w:rsid w:val="00D1648C"/>
    <w:rsid w:val="00D17AF8"/>
    <w:rsid w:val="00D20143"/>
    <w:rsid w:val="00D24564"/>
    <w:rsid w:val="00D266FF"/>
    <w:rsid w:val="00D32B3D"/>
    <w:rsid w:val="00D36687"/>
    <w:rsid w:val="00D3707F"/>
    <w:rsid w:val="00D4206D"/>
    <w:rsid w:val="00D4315A"/>
    <w:rsid w:val="00D45C5C"/>
    <w:rsid w:val="00D50808"/>
    <w:rsid w:val="00D515B7"/>
    <w:rsid w:val="00D529C9"/>
    <w:rsid w:val="00D61544"/>
    <w:rsid w:val="00D63751"/>
    <w:rsid w:val="00D63F0E"/>
    <w:rsid w:val="00D800CC"/>
    <w:rsid w:val="00D92A48"/>
    <w:rsid w:val="00D936CB"/>
    <w:rsid w:val="00D94D58"/>
    <w:rsid w:val="00D9782D"/>
    <w:rsid w:val="00DA0963"/>
    <w:rsid w:val="00DA38E9"/>
    <w:rsid w:val="00DA4243"/>
    <w:rsid w:val="00DA4D53"/>
    <w:rsid w:val="00DA5156"/>
    <w:rsid w:val="00DB43CA"/>
    <w:rsid w:val="00DB6F86"/>
    <w:rsid w:val="00DB7C24"/>
    <w:rsid w:val="00DC0566"/>
    <w:rsid w:val="00DC06D6"/>
    <w:rsid w:val="00DC45F2"/>
    <w:rsid w:val="00DC65E5"/>
    <w:rsid w:val="00DD1CD5"/>
    <w:rsid w:val="00DD4629"/>
    <w:rsid w:val="00DD497B"/>
    <w:rsid w:val="00DD4E72"/>
    <w:rsid w:val="00DE329F"/>
    <w:rsid w:val="00DE79C4"/>
    <w:rsid w:val="00DF0254"/>
    <w:rsid w:val="00DF285B"/>
    <w:rsid w:val="00DF3F28"/>
    <w:rsid w:val="00DF5FA5"/>
    <w:rsid w:val="00E01903"/>
    <w:rsid w:val="00E0315C"/>
    <w:rsid w:val="00E03515"/>
    <w:rsid w:val="00E11223"/>
    <w:rsid w:val="00E12903"/>
    <w:rsid w:val="00E13E8C"/>
    <w:rsid w:val="00E17282"/>
    <w:rsid w:val="00E17527"/>
    <w:rsid w:val="00E306BC"/>
    <w:rsid w:val="00E3200A"/>
    <w:rsid w:val="00E32BF3"/>
    <w:rsid w:val="00E3302A"/>
    <w:rsid w:val="00E35E8C"/>
    <w:rsid w:val="00E3669B"/>
    <w:rsid w:val="00E40482"/>
    <w:rsid w:val="00E40EB3"/>
    <w:rsid w:val="00E4192A"/>
    <w:rsid w:val="00E45AEA"/>
    <w:rsid w:val="00E45D28"/>
    <w:rsid w:val="00E47475"/>
    <w:rsid w:val="00E50077"/>
    <w:rsid w:val="00E52F17"/>
    <w:rsid w:val="00E5423B"/>
    <w:rsid w:val="00E56B26"/>
    <w:rsid w:val="00E56BE9"/>
    <w:rsid w:val="00E61C8E"/>
    <w:rsid w:val="00E61F59"/>
    <w:rsid w:val="00E6785B"/>
    <w:rsid w:val="00E72937"/>
    <w:rsid w:val="00E72CBD"/>
    <w:rsid w:val="00E74955"/>
    <w:rsid w:val="00E75FF6"/>
    <w:rsid w:val="00E81AEF"/>
    <w:rsid w:val="00E83242"/>
    <w:rsid w:val="00E86001"/>
    <w:rsid w:val="00E9061E"/>
    <w:rsid w:val="00E95BDD"/>
    <w:rsid w:val="00EA02F7"/>
    <w:rsid w:val="00EA11B8"/>
    <w:rsid w:val="00EA52AA"/>
    <w:rsid w:val="00EB0A46"/>
    <w:rsid w:val="00EB0C7C"/>
    <w:rsid w:val="00EB3E7D"/>
    <w:rsid w:val="00EB7366"/>
    <w:rsid w:val="00EC0124"/>
    <w:rsid w:val="00ED05E2"/>
    <w:rsid w:val="00ED0B70"/>
    <w:rsid w:val="00ED6BAC"/>
    <w:rsid w:val="00ED7F6D"/>
    <w:rsid w:val="00EF0B34"/>
    <w:rsid w:val="00EF2612"/>
    <w:rsid w:val="00EF53EC"/>
    <w:rsid w:val="00F01473"/>
    <w:rsid w:val="00F045AB"/>
    <w:rsid w:val="00F05662"/>
    <w:rsid w:val="00F1292C"/>
    <w:rsid w:val="00F153AB"/>
    <w:rsid w:val="00F16C6A"/>
    <w:rsid w:val="00F20043"/>
    <w:rsid w:val="00F207D4"/>
    <w:rsid w:val="00F2172A"/>
    <w:rsid w:val="00F21C5F"/>
    <w:rsid w:val="00F227FE"/>
    <w:rsid w:val="00F23EDC"/>
    <w:rsid w:val="00F24385"/>
    <w:rsid w:val="00F2454C"/>
    <w:rsid w:val="00F30047"/>
    <w:rsid w:val="00F32ADA"/>
    <w:rsid w:val="00F34187"/>
    <w:rsid w:val="00F35E26"/>
    <w:rsid w:val="00F43493"/>
    <w:rsid w:val="00F43515"/>
    <w:rsid w:val="00F43B13"/>
    <w:rsid w:val="00F479A0"/>
    <w:rsid w:val="00F508B9"/>
    <w:rsid w:val="00F51E0F"/>
    <w:rsid w:val="00F56FA6"/>
    <w:rsid w:val="00F62121"/>
    <w:rsid w:val="00F6327F"/>
    <w:rsid w:val="00F65F90"/>
    <w:rsid w:val="00F66FBE"/>
    <w:rsid w:val="00F7354F"/>
    <w:rsid w:val="00F73ED8"/>
    <w:rsid w:val="00F80249"/>
    <w:rsid w:val="00F81FEA"/>
    <w:rsid w:val="00F82D04"/>
    <w:rsid w:val="00F82E14"/>
    <w:rsid w:val="00F853C9"/>
    <w:rsid w:val="00F859E1"/>
    <w:rsid w:val="00F92117"/>
    <w:rsid w:val="00FA48F6"/>
    <w:rsid w:val="00FB3837"/>
    <w:rsid w:val="00FB47D1"/>
    <w:rsid w:val="00FB6041"/>
    <w:rsid w:val="00FC0A15"/>
    <w:rsid w:val="00FC19CF"/>
    <w:rsid w:val="00FC4B0E"/>
    <w:rsid w:val="00FC4CAC"/>
    <w:rsid w:val="00FC7D83"/>
    <w:rsid w:val="00FD2D57"/>
    <w:rsid w:val="00FE353A"/>
    <w:rsid w:val="00FE5534"/>
    <w:rsid w:val="00FE6A8E"/>
    <w:rsid w:val="00FE719A"/>
    <w:rsid w:val="00FF413D"/>
    <w:rsid w:val="00FF55F5"/>
    <w:rsid w:val="00FF79CC"/>
    <w:rsid w:val="0111582A"/>
    <w:rsid w:val="023E44DD"/>
    <w:rsid w:val="08FF6402"/>
    <w:rsid w:val="092B34C5"/>
    <w:rsid w:val="09346F9E"/>
    <w:rsid w:val="0BDF785F"/>
    <w:rsid w:val="0C7402DA"/>
    <w:rsid w:val="0E1C0286"/>
    <w:rsid w:val="0E3D788D"/>
    <w:rsid w:val="10B67FCA"/>
    <w:rsid w:val="10F57D16"/>
    <w:rsid w:val="14F22EDB"/>
    <w:rsid w:val="154C48E9"/>
    <w:rsid w:val="183618FB"/>
    <w:rsid w:val="184D69FD"/>
    <w:rsid w:val="18574779"/>
    <w:rsid w:val="18DC1D24"/>
    <w:rsid w:val="1A1651E1"/>
    <w:rsid w:val="1B030946"/>
    <w:rsid w:val="1B100ACE"/>
    <w:rsid w:val="1EC937DB"/>
    <w:rsid w:val="1FD1089D"/>
    <w:rsid w:val="21596BE5"/>
    <w:rsid w:val="2479679A"/>
    <w:rsid w:val="249D2C73"/>
    <w:rsid w:val="24C46617"/>
    <w:rsid w:val="25FC7793"/>
    <w:rsid w:val="26CD1128"/>
    <w:rsid w:val="27344981"/>
    <w:rsid w:val="273741E4"/>
    <w:rsid w:val="27521B73"/>
    <w:rsid w:val="2830246A"/>
    <w:rsid w:val="29A82584"/>
    <w:rsid w:val="2A4228EA"/>
    <w:rsid w:val="2BBA3EFA"/>
    <w:rsid w:val="2CC053C6"/>
    <w:rsid w:val="2CFB2F4F"/>
    <w:rsid w:val="2FAA23C1"/>
    <w:rsid w:val="30A92D9F"/>
    <w:rsid w:val="3127616C"/>
    <w:rsid w:val="32566650"/>
    <w:rsid w:val="364D125D"/>
    <w:rsid w:val="368C5B95"/>
    <w:rsid w:val="39CA19EE"/>
    <w:rsid w:val="3D352C8F"/>
    <w:rsid w:val="40653678"/>
    <w:rsid w:val="42877F46"/>
    <w:rsid w:val="429517B5"/>
    <w:rsid w:val="42F33EB0"/>
    <w:rsid w:val="43B02BAC"/>
    <w:rsid w:val="44CD20CF"/>
    <w:rsid w:val="465E7EDB"/>
    <w:rsid w:val="46ED21D9"/>
    <w:rsid w:val="49CF073D"/>
    <w:rsid w:val="49CF4DB8"/>
    <w:rsid w:val="4C95684D"/>
    <w:rsid w:val="4CF806AA"/>
    <w:rsid w:val="4D7E73D4"/>
    <w:rsid w:val="4E7C071F"/>
    <w:rsid w:val="4F130A87"/>
    <w:rsid w:val="4F4920C0"/>
    <w:rsid w:val="4F4D444D"/>
    <w:rsid w:val="51A20B79"/>
    <w:rsid w:val="51A4002A"/>
    <w:rsid w:val="51CB2F31"/>
    <w:rsid w:val="526E157A"/>
    <w:rsid w:val="52BE27AA"/>
    <w:rsid w:val="52F3532C"/>
    <w:rsid w:val="535149D8"/>
    <w:rsid w:val="547A499B"/>
    <w:rsid w:val="54AF2DEA"/>
    <w:rsid w:val="5501798A"/>
    <w:rsid w:val="552F07AD"/>
    <w:rsid w:val="55DC77A0"/>
    <w:rsid w:val="55EA2B4F"/>
    <w:rsid w:val="561C43B8"/>
    <w:rsid w:val="58BD6B93"/>
    <w:rsid w:val="597134BC"/>
    <w:rsid w:val="5A205895"/>
    <w:rsid w:val="5B2477CF"/>
    <w:rsid w:val="5D0D4DCB"/>
    <w:rsid w:val="5D2358C6"/>
    <w:rsid w:val="5D553EF6"/>
    <w:rsid w:val="60932804"/>
    <w:rsid w:val="61D96733"/>
    <w:rsid w:val="61F55764"/>
    <w:rsid w:val="693A2EA6"/>
    <w:rsid w:val="709A317E"/>
    <w:rsid w:val="72F95A0F"/>
    <w:rsid w:val="751A03C1"/>
    <w:rsid w:val="76A31AC2"/>
    <w:rsid w:val="78862BB9"/>
    <w:rsid w:val="796A27B8"/>
    <w:rsid w:val="7B3258C7"/>
    <w:rsid w:val="7BBF2E76"/>
    <w:rsid w:val="7CD060AD"/>
    <w:rsid w:val="7EB402EB"/>
    <w:rsid w:val="7F2C6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rPr>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
    <w:name w:val="Light Shading Accent 4"/>
    <w:basedOn w:val="6"/>
    <w:qFormat/>
    <w:uiPriority w:val="60"/>
    <w:rPr>
      <w:color w:val="604A7B" w:themeColor="accent4" w:themeShade="BF"/>
    </w:rPr>
    <w:tblPr>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10">
    <w:name w:val="批注框文本 字符"/>
    <w:basedOn w:val="9"/>
    <w:link w:val="2"/>
    <w:semiHidden/>
    <w:qFormat/>
    <w:uiPriority w:val="99"/>
    <w:rPr>
      <w:sz w:val="18"/>
      <w:szCs w:val="18"/>
    </w:rPr>
  </w:style>
  <w:style w:type="paragraph" w:customStyle="1" w:styleId="11">
    <w:name w:val="列出段落1"/>
    <w:basedOn w:val="1"/>
    <w:unhideWhenUsed/>
    <w:qFormat/>
    <w:uiPriority w:val="34"/>
    <w:pPr>
      <w:ind w:firstLine="420" w:firstLineChars="200"/>
    </w:pPr>
    <w:rPr>
      <w:rFonts w:ascii="Calibri" w:hAnsi="Calibri" w:eastAsia="宋体" w:cs="黑体"/>
    </w:rPr>
  </w:style>
  <w:style w:type="paragraph" w:customStyle="1" w:styleId="12">
    <w:name w:val="fbl_gitit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fbl_gityp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fbl_gilegen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fbl_gipercent"/>
    <w:basedOn w:val="9"/>
    <w:qFormat/>
    <w:uiPriority w:val="0"/>
  </w:style>
  <w:style w:type="character" w:customStyle="1" w:styleId="16">
    <w:name w:val="fbl_ginumber"/>
    <w:basedOn w:val="9"/>
    <w:qFormat/>
    <w:uiPriority w:val="0"/>
  </w:style>
  <w:style w:type="paragraph" w:customStyle="1" w:styleId="17">
    <w:name w:val="fbl_gipielabe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000" b="1" i="0" u="none" strike="noStrike" kern="1200" baseline="0">
                <a:solidFill>
                  <a:schemeClr val="tx1"/>
                </a:solidFill>
                <a:latin typeface="+mn-ea"/>
                <a:ea typeface="+mn-ea"/>
                <a:cs typeface="+mn-cs"/>
              </a:defRPr>
            </a:pPr>
            <a:r>
              <a:rPr lang="en-US" altLang="zh-CN" sz="1000">
                <a:latin typeface="+mn-ea"/>
                <a:ea typeface="+mn-ea"/>
              </a:rPr>
              <a:t>2019CCBD</a:t>
            </a:r>
            <a:r>
              <a:rPr lang="zh-CN" altLang="en-US" sz="1000">
                <a:latin typeface="+mn-ea"/>
                <a:ea typeface="+mn-ea"/>
              </a:rPr>
              <a:t>观众区域分布</a:t>
            </a:r>
            <a:endParaRPr lang="zh-CN" altLang="en-US" sz="1000">
              <a:latin typeface="+mn-ea"/>
              <a:ea typeface="+mn-ea"/>
            </a:endParaRPr>
          </a:p>
        </c:rich>
      </c:tx>
      <c:layout>
        <c:manualLayout>
          <c:xMode val="edge"/>
          <c:yMode val="edge"/>
          <c:x val="0.688243801071574"/>
          <c:y val="0.800918721225421"/>
        </c:manualLayout>
      </c:layout>
      <c:overlay val="0"/>
      <c:spPr>
        <a:noFill/>
        <a:ln>
          <a:noFill/>
        </a:ln>
        <a:effectLst/>
      </c:spPr>
    </c:title>
    <c:autoTitleDeleted val="0"/>
    <c:plotArea>
      <c:layout/>
      <c:pieChart>
        <c:varyColors val="1"/>
        <c:ser>
          <c:idx val="0"/>
          <c:order val="0"/>
          <c:tx>
            <c:strRef>
              <c:f>Sheet1!$B$1</c:f>
              <c:strCache>
                <c:ptCount val="1"/>
                <c:pt idx="0">
                  <c:v>2019CCBD观众·区域分布</c:v>
                </c:pt>
              </c:strCache>
            </c:strRef>
          </c:tx>
          <c:spPr/>
          <c:explosion val="0"/>
          <c:dPt>
            <c:idx val="0"/>
            <c:bubble3D val="0"/>
            <c:spPr>
              <a:solidFill>
                <a:schemeClr val="accent1"/>
              </a:solidFill>
              <a:ln>
                <a:noFill/>
              </a:ln>
              <a:effectLst>
                <a:outerShdw blurRad="40000" dist="23000" dir="5400000" rotWithShape="0">
                  <a:srgbClr val="000000">
                    <a:alpha val="35000"/>
                  </a:srgbClr>
                </a:outerShdw>
              </a:effectLst>
            </c:spPr>
          </c:dPt>
          <c:dPt>
            <c:idx val="1"/>
            <c:bubble3D val="0"/>
            <c:spPr>
              <a:solidFill>
                <a:schemeClr val="accent2"/>
              </a:solidFill>
              <a:ln>
                <a:noFill/>
              </a:ln>
              <a:effectLst>
                <a:outerShdw blurRad="40000" dist="23000" dir="5400000" rotWithShape="0">
                  <a:srgbClr val="000000">
                    <a:alpha val="35000"/>
                  </a:srgbClr>
                </a:outerShdw>
              </a:effectLst>
            </c:spPr>
          </c:dPt>
          <c:dPt>
            <c:idx val="2"/>
            <c:bubble3D val="0"/>
            <c:spPr>
              <a:solidFill>
                <a:schemeClr val="accent3"/>
              </a:solidFill>
              <a:ln>
                <a:noFill/>
              </a:ln>
              <a:effectLst>
                <a:outerShdw blurRad="40000" dist="23000" dir="5400000" rotWithShape="0">
                  <a:srgbClr val="000000">
                    <a:alpha val="35000"/>
                  </a:srgbClr>
                </a:outerShdw>
              </a:effectLst>
            </c:spPr>
          </c:dPt>
          <c:dPt>
            <c:idx val="3"/>
            <c:bubble3D val="0"/>
            <c:spPr>
              <a:solidFill>
                <a:schemeClr val="accent4"/>
              </a:solidFill>
              <a:ln>
                <a:noFill/>
              </a:ln>
              <a:effectLst>
                <a:outerShdw blurRad="40000" dist="23000" dir="5400000" rotWithShape="0">
                  <a:srgbClr val="000000">
                    <a:alpha val="35000"/>
                  </a:srgbClr>
                </a:outerShdw>
              </a:effectLst>
            </c:spPr>
          </c:dPt>
          <c:dPt>
            <c:idx val="4"/>
            <c:bubble3D val="0"/>
            <c:spPr>
              <a:solidFill>
                <a:schemeClr val="accent5"/>
              </a:solidFill>
              <a:ln>
                <a:noFill/>
              </a:ln>
              <a:effectLst>
                <a:outerShdw blurRad="40000" dist="23000" dir="5400000" rotWithShape="0">
                  <a:srgbClr val="000000">
                    <a:alpha val="35000"/>
                  </a:srgbClr>
                </a:outerShdw>
              </a:effectLst>
            </c:spPr>
          </c:dPt>
          <c:dPt>
            <c:idx val="5"/>
            <c:bubble3D val="0"/>
            <c:spPr>
              <a:solidFill>
                <a:schemeClr val="accent6"/>
              </a:solidFill>
              <a:ln>
                <a:noFill/>
              </a:ln>
              <a:effectLst>
                <a:outerShdw blurRad="40000" dist="23000" dir="5400000" rotWithShape="0">
                  <a:srgbClr val="000000">
                    <a:alpha val="35000"/>
                  </a:srgbClr>
                </a:outerShdw>
              </a:effectLst>
            </c:spPr>
          </c:dPt>
          <c:dPt>
            <c:idx val="6"/>
            <c:bubble3D val="0"/>
            <c:spPr>
              <a:solidFill>
                <a:schemeClr val="accent1">
                  <a:lumMod val="60000"/>
                </a:schemeClr>
              </a:solidFill>
              <a:ln>
                <a:noFill/>
              </a:ln>
              <a:effectLst>
                <a:outerShdw blurRad="40000" dist="23000" dir="5400000" rotWithShape="0">
                  <a:srgbClr val="000000">
                    <a:alpha val="35000"/>
                  </a:srgbClr>
                </a:outerShdw>
              </a:effectLst>
            </c:spPr>
          </c:dPt>
          <c:dLbls>
            <c:dLbl>
              <c:idx val="0"/>
              <c:layout>
                <c:manualLayout>
                  <c:x val="-0.107396500952711"/>
                  <c:y val="-0.14888337468982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326287339082615"/>
                  <c:y val="0.0426855456815127"/>
                </c:manualLayout>
              </c:layout>
              <c:numFmt formatCode="General" sourceLinked="1"/>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txPr>
                <a:bodyPr rot="0" spcFirstLastPara="1" vertOverflow="ellipsis" vert="horz" wrap="square" lIns="38100" tIns="19050" rIns="38100" bIns="19050" anchor="ctr" anchorCtr="1">
                  <a:spAutoFit/>
                </a:bodyPr>
                <a:lstStyle/>
                <a:p>
                  <a:pPr>
                    <a:defRPr lang="zh-CN" sz="800" b="0" i="0" u="none" strike="noStrike" kern="1200" baseline="0">
                      <a:solidFill>
                        <a:schemeClr val="dk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wedgeRectCallout">
                      <a:avLst>
                        <a:gd name="adj1" fmla="val 114722"/>
                        <a:gd name="adj2" fmla="val -30557"/>
                      </a:avLst>
                    </a:prstGeom>
                    <a:noFill/>
                    <a:ln>
                      <a:noFill/>
                    </a:ln>
                  </c15:spPr>
                  <c15:layout/>
                </c:ext>
              </c:extLst>
            </c:dLbl>
            <c:dLbl>
              <c:idx val="2"/>
              <c:layout>
                <c:manualLayout>
                  <c:x val="-0.0727524683873203"/>
                  <c:y val="0.049627791563275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692880651307812"/>
                  <c:y val="-0.0055141990625861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55430452104625"/>
                  <c:y val="-0.011028398125172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0.244338498685371"/>
                  <c:y val="0.0310902448587368"/>
                </c:manualLayout>
              </c:layout>
              <c:numFmt formatCode="General" sourceLinked="1"/>
              <c:spPr>
                <a:solidFill>
                  <a:sysClr val="window" lastClr="FFFFFF"/>
                </a:solidFill>
                <a:ln>
                  <a:solidFill>
                    <a:sysClr val="windowText" lastClr="000000">
                      <a:lumMod val="65000"/>
                      <a:lumOff val="35000"/>
                    </a:sysClr>
                  </a:solidFill>
                </a:ln>
                <a:effectLst/>
              </c:spPr>
              <c:txPr>
                <a:bodyPr rot="0" spcFirstLastPara="1" vertOverflow="ellipsis" vert="horz" wrap="square" lIns="38100" tIns="19050" rIns="38100" bIns="19050" anchor="ctr" anchorCtr="1">
                  <a:noAutofit/>
                </a:bodyPr>
                <a:lstStyle/>
                <a:p>
                  <a:pPr>
                    <a:defRPr lang="zh-CN" sz="800" b="0" i="0" u="none" strike="noStrike" kern="1200" baseline="0">
                      <a:solidFill>
                        <a:schemeClr val="dk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94661561800188"/>
                      <c:h val="0.138120919558422"/>
                    </c:manualLayout>
                  </c15:layout>
                </c:ext>
              </c:extLst>
            </c:dLbl>
            <c:spPr>
              <a:solidFill>
                <a:sysClr val="window" lastClr="FFFFFF"/>
              </a:solidFill>
              <a:ln>
                <a:solidFill>
                  <a:sysClr val="windowText" lastClr="000000">
                    <a:lumMod val="65000"/>
                    <a:lumOff val="35000"/>
                  </a:sysClr>
                </a:solidFill>
              </a:ln>
              <a:effectLst/>
            </c:spPr>
            <c:txPr>
              <a:bodyPr rot="0" spcFirstLastPara="1" vertOverflow="ellipsis" vert="horz" wrap="square" lIns="38100" tIns="19050" rIns="38100" bIns="19050" anchor="ctr" anchorCtr="1">
                <a:spAutoFit/>
              </a:bodyPr>
              <a:lstStyle/>
              <a:p>
                <a:pPr>
                  <a:defRPr lang="zh-CN" sz="800" b="0" i="0" u="none" strike="noStrike" kern="1200" baseline="0">
                    <a:solidFill>
                      <a:schemeClr val="dk1"/>
                    </a:solidFill>
                    <a:latin typeface="+mn-lt"/>
                    <a:ea typeface="+mn-ea"/>
                    <a:cs typeface="+mn-cs"/>
                  </a:defRPr>
                </a:pP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spPr>
                    <a:ln w="9525" cap="flat" cmpd="sng" algn="ctr">
                      <a:solidFill>
                        <a:schemeClr val="tx1">
                          <a:shade val="95000"/>
                          <a:satMod val="105000"/>
                        </a:schemeClr>
                      </a:solidFill>
                      <a:prstDash val="solid"/>
                      <a:round/>
                    </a:ln>
                    <a:effectLst/>
                  </c:spPr>
                </c15:leaderLines>
              </c:ext>
            </c:extLst>
          </c:dLbls>
          <c:cat>
            <c:strRef>
              <c:f>Sheet1!$A$2:$A$8</c:f>
              <c:strCache>
                <c:ptCount val="7"/>
                <c:pt idx="0">
                  <c:v>四川</c:v>
                </c:pt>
                <c:pt idx="1">
                  <c:v>重庆</c:v>
                </c:pt>
                <c:pt idx="2">
                  <c:v>贵州</c:v>
                </c:pt>
                <c:pt idx="3">
                  <c:v>云南</c:v>
                </c:pt>
                <c:pt idx="4">
                  <c:v>陕西</c:v>
                </c:pt>
                <c:pt idx="5">
                  <c:v>甘肃</c:v>
                </c:pt>
                <c:pt idx="6">
                  <c:v>其他区域</c:v>
                </c:pt>
              </c:strCache>
            </c:strRef>
          </c:cat>
          <c:val>
            <c:numRef>
              <c:f>Sheet1!$B$2:$B$8</c:f>
              <c:numCache>
                <c:formatCode>0%</c:formatCode>
                <c:ptCount val="7"/>
                <c:pt idx="0">
                  <c:v>0.64</c:v>
                </c:pt>
                <c:pt idx="1">
                  <c:v>0.14</c:v>
                </c:pt>
                <c:pt idx="2">
                  <c:v>0.08</c:v>
                </c:pt>
                <c:pt idx="3">
                  <c:v>0.05</c:v>
                </c:pt>
                <c:pt idx="4">
                  <c:v>0.06</c:v>
                </c:pt>
                <c:pt idx="5">
                  <c:v>0.02</c:v>
                </c:pt>
                <c:pt idx="6">
                  <c:v>0.01</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chemeClr val="tx2">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2019CCBD观众行业属性</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制造商/厂家</c:v>
                </c:pt>
                <c:pt idx="1">
                  <c:v>代理商</c:v>
                </c:pt>
                <c:pt idx="2">
                  <c:v>零售商</c:v>
                </c:pt>
                <c:pt idx="3">
                  <c:v>分销商/批发商</c:v>
                </c:pt>
                <c:pt idx="4">
                  <c:v>连锁加盟经销商</c:v>
                </c:pt>
                <c:pt idx="5">
                  <c:v>进出口贸易商</c:v>
                </c:pt>
                <c:pt idx="6">
                  <c:v>装饰装修公司</c:v>
                </c:pt>
                <c:pt idx="7">
                  <c:v>建筑工程公司</c:v>
                </c:pt>
                <c:pt idx="8">
                  <c:v>建筑/室内设计</c:v>
                </c:pt>
                <c:pt idx="9">
                  <c:v>房地产开发商</c:v>
                </c:pt>
                <c:pt idx="10">
                  <c:v>市政/园林工程公司</c:v>
                </c:pt>
                <c:pt idx="11">
                  <c:v>政府/媒体/相关协会</c:v>
                </c:pt>
                <c:pt idx="12">
                  <c:v>其他</c:v>
                </c:pt>
              </c:strCache>
            </c:strRef>
          </c:cat>
          <c:val>
            <c:numRef>
              <c:f>Sheet1!$B$2:$B$14</c:f>
              <c:numCache>
                <c:formatCode>0.00%</c:formatCode>
                <c:ptCount val="13"/>
                <c:pt idx="0">
                  <c:v>0.2906</c:v>
                </c:pt>
                <c:pt idx="1">
                  <c:v>0.2109</c:v>
                </c:pt>
                <c:pt idx="2">
                  <c:v>0.121</c:v>
                </c:pt>
                <c:pt idx="3">
                  <c:v>0.0789</c:v>
                </c:pt>
                <c:pt idx="4">
                  <c:v>0.028</c:v>
                </c:pt>
                <c:pt idx="5">
                  <c:v>0.0132</c:v>
                </c:pt>
                <c:pt idx="6">
                  <c:v>0.1094</c:v>
                </c:pt>
                <c:pt idx="7">
                  <c:v>0.045</c:v>
                </c:pt>
                <c:pt idx="8">
                  <c:v>0.0429</c:v>
                </c:pt>
                <c:pt idx="9">
                  <c:v>0.023</c:v>
                </c:pt>
                <c:pt idx="10">
                  <c:v>0.0098</c:v>
                </c:pt>
                <c:pt idx="11">
                  <c:v>0.011</c:v>
                </c:pt>
                <c:pt idx="12">
                  <c:v>0.0163</c:v>
                </c:pt>
              </c:numCache>
            </c:numRef>
          </c:val>
        </c:ser>
        <c:dLbls>
          <c:showLegendKey val="0"/>
          <c:showVal val="0"/>
          <c:showCatName val="0"/>
          <c:showSerName val="0"/>
          <c:showPercent val="0"/>
          <c:showBubbleSize val="0"/>
        </c:dLbls>
        <c:gapWidth val="219"/>
        <c:overlap val="-27"/>
        <c:axId val="193540735"/>
        <c:axId val="2064711375"/>
      </c:barChart>
      <c:catAx>
        <c:axId val="193540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64711375"/>
        <c:crosses val="autoZero"/>
        <c:auto val="1"/>
        <c:lblAlgn val="ctr"/>
        <c:lblOffset val="100"/>
        <c:noMultiLvlLbl val="0"/>
      </c:catAx>
      <c:valAx>
        <c:axId val="206471137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3540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200" b="0" i="0" u="none" strike="noStrike" kern="1200" spc="0" baseline="0">
                <a:solidFill>
                  <a:schemeClr val="tx1">
                    <a:lumMod val="65000"/>
                    <a:lumOff val="35000"/>
                  </a:schemeClr>
                </a:solidFill>
                <a:latin typeface="+mn-lt"/>
                <a:ea typeface="+mn-ea"/>
                <a:cs typeface="+mn-cs"/>
              </a:defRPr>
            </a:pPr>
            <a:r>
              <a:rPr lang="en-US" altLang="zh-CN" sz="1200"/>
              <a:t>2019·CCBD—</a:t>
            </a:r>
            <a:r>
              <a:rPr lang="zh-CN" altLang="en-US" sz="1200"/>
              <a:t>展商区域分布</a:t>
            </a:r>
            <a:endParaRPr lang="zh-CN" altLang="en-US" sz="1200"/>
          </a:p>
        </c:rich>
      </c:tx>
      <c:layout/>
      <c:overlay val="0"/>
      <c:spPr>
        <a:noFill/>
        <a:ln>
          <a:noFill/>
        </a:ln>
        <a:effectLst/>
      </c:spPr>
    </c:title>
    <c:autoTitleDeleted val="0"/>
    <c:plotArea>
      <c:layout/>
      <c:pieChart>
        <c:varyColors val="1"/>
        <c:ser>
          <c:idx val="0"/>
          <c:order val="0"/>
          <c:tx>
            <c:strRef>
              <c:f>Sheet1!$B$1</c:f>
              <c:strCache>
                <c:ptCount val="1"/>
                <c:pt idx="0">
                  <c:v>2018·CCBD展商区域分布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051136290890468"/>
                  <c:y val="-0.03349595586266"/>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288739517316433"/>
                  <c:y val="0.10909850554395"/>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省外</c:v>
                </c:pt>
                <c:pt idx="1">
                  <c:v>省内</c:v>
                </c:pt>
                <c:pt idx="2">
                  <c:v>国外</c:v>
                </c:pt>
              </c:strCache>
            </c:strRef>
          </c:cat>
          <c:val>
            <c:numRef>
              <c:f>Sheet1!$B$2:$B$4</c:f>
              <c:numCache>
                <c:formatCode>0%</c:formatCode>
                <c:ptCount val="3"/>
                <c:pt idx="0">
                  <c:v>0.65</c:v>
                </c:pt>
                <c:pt idx="1">
                  <c:v>0.33</c:v>
                </c:pt>
                <c:pt idx="2">
                  <c:v>0.015</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59C5EB-4221-4310-8AB0-B70DBD1AC3F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796</Words>
  <Characters>4541</Characters>
  <Lines>37</Lines>
  <Paragraphs>10</Paragraphs>
  <TotalTime>0</TotalTime>
  <ScaleCrop>false</ScaleCrop>
  <LinksUpToDate>false</LinksUpToDate>
  <CharactersWithSpaces>5327</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2019-04-30T09:21:00Z</dcterms:created>
  <dc:creator>Zhang, Linyao</dc:creator>
  <cp:lastModifiedBy>米晓花</cp:lastModifiedBy>
  <dcterms:modified xsi:type="dcterms:W3CDTF">2019-09-06T06:56:34Z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y fmtid="{D5CDD505-2E9C-101B-9397-08002B2CF9AE}" pid="3" name="MSIP_Label_181c070e-054b-4d1c-ba4c-fc70b099192e_Enabled">
    <vt:lpwstr>True</vt:lpwstr>
  </property>
  <property fmtid="{D5CDD505-2E9C-101B-9397-08002B2CF9AE}" pid="4" name="MSIP_Label_181c070e-054b-4d1c-ba4c-fc70b099192e_SiteId">
    <vt:lpwstr>2567d566-604c-408a-8a60-55d0dc9d9d6b</vt:lpwstr>
  </property>
  <property fmtid="{D5CDD505-2E9C-101B-9397-08002B2CF9AE}" pid="5" name="MSIP_Label_181c070e-054b-4d1c-ba4c-fc70b099192e_Owner">
    <vt:lpwstr>Shiyang.Zhao@informa.com</vt:lpwstr>
  </property>
  <property fmtid="{D5CDD505-2E9C-101B-9397-08002B2CF9AE}" pid="6" name="MSIP_Label_181c070e-054b-4d1c-ba4c-fc70b099192e_SetDate">
    <vt:lpwstr>2019-04-30T09:19:46.7600948Z</vt:lpwstr>
  </property>
  <property fmtid="{D5CDD505-2E9C-101B-9397-08002B2CF9AE}" pid="7" name="MSIP_Label_181c070e-054b-4d1c-ba4c-fc70b099192e_Name">
    <vt:lpwstr>General</vt:lpwstr>
  </property>
  <property fmtid="{D5CDD505-2E9C-101B-9397-08002B2CF9AE}" pid="8" name="MSIP_Label_181c070e-054b-4d1c-ba4c-fc70b099192e_Application">
    <vt:lpwstr>Microsoft Azure Information Protection</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Shiyang.Zhao@informa.com</vt:lpwstr>
  </property>
  <property fmtid="{D5CDD505-2E9C-101B-9397-08002B2CF9AE}" pid="13" name="MSIP_Label_2bbab825-a111-45e4-86a1-18cee0005896_SetDate">
    <vt:lpwstr>2019-04-30T09:19:46.7600948Z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Parent">
    <vt:lpwstr>181c070e-054b-4d1c-ba4c-fc70b099192e</vt:lpwstr>
  </property>
  <property fmtid="{D5CDD505-2E9C-101B-9397-08002B2CF9AE}" pid="17" name="MSIP_Label_2bbab825-a111-45e4-86a1-18cee0005896_Extended_MSFT_Method">
    <vt:lpwstr>Automatic</vt:lpwstr>
  </property>
  <property fmtid="{D5CDD505-2E9C-101B-9397-08002B2CF9AE}" pid="18" name="Sensitivity">
    <vt:lpwstr>General Un-restricted</vt:lpwstr>
  </property>
</Properties>
</file>